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2"/>
        </w:rPr>
        <w:t>整合辖区，分化工人：中国的城市县合并、劳动市场与移民-本地工资差距</w:t>
      </w:r>
    </w:p>
    <w:p>
      <w:r>
        <w:t>____________________________________________________________</w:t>
      </w:r>
    </w:p>
    <w:p>
      <w:pPr>
        <w:spacing w:line="360" w:lineRule="auto" w:after="120"/>
      </w:pPr>
      <w:r>
        <w:t>本文由Shiyu Bo和Yi Wang研究，探讨中国城市县合并如何重塑地方劳动市场。通过中国流动人口动态调查的数据和差异中的差异方法，研究发现，该改革通过增强地方经济和改善治理来提高工资。在合并辖区内，连接性改善，税收执行更有效，地方服务可及性增强，反映出真正的行政整合。然而，劳动市场收益并不均匀，本地居民的收益明显高于移民，显示出政治整合在推动增长的同时改变了收益分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