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sz w:val="36"/>
        </w:rPr>
        <w:t>市县合并与货币政策的双重挑战</w:t>
      </w:r>
    </w:p>
    <w:p/>
    <w:p>
      <w:pPr>
        <w:spacing w:after="120"/>
      </w:pPr>
      <w:r>
        <w:rPr>
          <w:sz w:val="22"/>
        </w:rPr>
        <w:t>大家好，我是VoxChina的研究员。</w:t>
      </w:r>
    </w:p>
    <w:p>
      <w:pPr>
        <w:spacing w:before="240"/>
        <w:jc w:val="center"/>
      </w:pPr>
      <w:r>
        <w:rPr>
          <w:b/>
          <w:sz w:val="24"/>
        </w:rPr>
        <w:t>很高兴在VOXCHINA和大家见面。</w:t>
      </w:r>
    </w:p>
    <w:p>
      <w:pPr>
        <w:spacing w:line="360" w:lineRule="auto" w:after="120"/>
        <w:ind w:firstLine="360"/>
      </w:pPr>
      <w:r>
        <w:t>今天我们将探讨中国市县合并改革对经济和社会的影响，以及中国货币政策在传导与稳定之间的权衡。</w:t>
      </w:r>
    </w:p>
    <w:p>
      <w:pPr>
        <w:spacing w:line="360" w:lineRule="auto" w:after="120"/>
        <w:ind w:firstLine="360"/>
      </w:pPr>
      <w:r>
        <w:t>市县合并对本地经济的影响</w:t>
      </w:r>
    </w:p>
    <w:p>
      <w:pPr>
        <w:spacing w:line="360" w:lineRule="auto" w:after="120"/>
        <w:ind w:firstLine="360"/>
      </w:pPr>
      <w:r>
        <w:t>市县合并改革在中国提高了本地居民的工资水平，增长幅度达到10.4%。这种政策改革显著改善了交通连通性和税收执行效率，推动了城市经济的增长和治理的提升。特别是在建设、基础设施和公共服务领域，这些领域的经济增长尤为显著。</w:t>
      </w:r>
    </w:p>
    <w:p>
      <w:pPr>
        <w:spacing w:line="360" w:lineRule="auto" w:after="120"/>
        <w:ind w:firstLine="360"/>
      </w:pPr>
      <w:r>
        <w:t>然而，尽管经济增长明显，本地居民与外来务工人员之间的工资差距却在扩大。外来务工人员的工资仅增加了3.1%，这表明经济增长并未均衡分布，导致了不平等的加剧。政策的启示在于政府需要确保经济增长的包容性，以避免社会不平等的进一步扩大。</w:t>
      </w:r>
    </w:p>
    <w:p>
      <w:pPr>
        <w:spacing w:before="120" w:after="120"/>
        <w:ind w:left="720"/>
      </w:pPr>
      <w:r>
        <w:rPr>
          <w:i/>
          <w:color w:val="808080"/>
          <w:sz w:val="20"/>
        </w:rPr>
        <w:t>Figure 1. 市县合并对本地居民与外来务工人员工资影响对比。</w:t>
      </w:r>
    </w:p>
    <w:p>
      <w:pPr>
        <w:spacing w:line="360" w:lineRule="auto" w:after="120"/>
        <w:ind w:firstLine="360"/>
      </w:pPr>
      <w:r>
        <w:t>货币政策的传导与银行系统的稳定</w:t>
      </w:r>
    </w:p>
    <w:p>
      <w:pPr>
        <w:spacing w:line="360" w:lineRule="auto" w:after="120"/>
        <w:ind w:firstLine="360"/>
      </w:pPr>
      <w:r>
        <w:t>中国的利率政策转型增强了货币政策在银行系统内的传导效率，特别是对于依赖批发融资的非国有银行而言，货币政策宽松时贷款传导更为有效。然而，这种转型也增加了银行系统的脆弱性，特别是在经济下行时期。</w:t>
      </w:r>
    </w:p>
    <w:p>
      <w:pPr>
        <w:spacing w:line="360" w:lineRule="auto" w:after="120"/>
        <w:ind w:firstLine="360"/>
      </w:pPr>
      <w:r>
        <w:t>批发融资的使用在经济下行时增加了系统性风险，这在2019年包商、恒丰和锦州银行的救助案例中尤为明显。这些案例突显出批发融资带来的系统性风险，特别是对于非国有银行。因此，政策建议包括对非国有银行的批发融资进行适度限制，以降低系统性风险。</w:t>
      </w:r>
    </w:p>
    <w:p>
      <w:pPr>
        <w:spacing w:before="120" w:after="120"/>
        <w:ind w:left="720"/>
      </w:pPr>
      <w:r>
        <w:rPr>
          <w:i/>
          <w:color w:val="808080"/>
          <w:sz w:val="20"/>
        </w:rPr>
        <w:t>Figure 2. 2019年包商、恒丰与锦州银行批发融资案例分析。</w:t>
      </w:r>
    </w:p>
    <w:p>
      <w:pPr>
        <w:spacing w:line="360" w:lineRule="auto" w:after="120"/>
        <w:ind w:firstLine="360"/>
      </w:pPr>
      <w:r>
        <w:t>批发融资的利弊权衡</w:t>
      </w:r>
    </w:p>
    <w:p>
      <w:pPr>
        <w:spacing w:line="360" w:lineRule="auto" w:after="120"/>
        <w:ind w:firstLine="360"/>
      </w:pPr>
      <w:r>
        <w:t>批发融资和传统存款在促进货币政策传导和经济稳定之间存在着明显的权衡。研究表明，适度限制批发融资可以减少银行挤兑的概率，从而增强金融系统的稳定性。然而，这也可能削弱货币政策的传导效果。中国的案例展示了全球不同存款制约下银行政策传导的共同挑战，如何在传导效率和系统稳定性之间找到平衡，仍是政策制定者面临的重要课题。</w:t>
      </w:r>
    </w:p>
    <w:p>
      <w:pPr>
        <w:spacing w:before="240"/>
        <w:jc w:val="center"/>
      </w:pPr>
      <w:r>
        <w:rPr>
          <w:b/>
          <w:sz w:val="24"/>
        </w:rPr>
        <w:t>欢迎继续关注 VOXCHINA，我们下期再见！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