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Integrating Jurisdictions, Dividing Workers: Consolidation, Labor Markets, and the Migrant-Local Wage Gap in China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研究分析了中国最近一波市县合并对地方劳动力市场的影响，数据来源于中国流动人口动态监测调查。通过分层差异中的差异方法和事件研究分析，结合五个稳健的DID估计量，研究发现市县合并通过加强地方经济和改善治理，显著提高了工资水平。具体而言，市县合并导致当地居民的工资增加了10.4%，而外来务工人员的工资仅增加了3.1%，显示出明显的经济利益分配不均。</w:t>
      </w:r>
    </w:p>
    <w:p>
      <w:pPr>
        <w:spacing w:line="360" w:lineRule="auto" w:after="120"/>
      </w:pPr>
      <w:r>
        <w:t>合并的经济增长主要集中在建筑、基础设施和公共服务领域，这些领域的投资和财政能力的改善对本地居民的收益更多。在合并的辖区内，连通性得到改善，税收执行变得更加有效，地方服务的可获得性扩大，反映出真正的行政整合。</w:t>
      </w:r>
    </w:p>
    <w:p>
      <w:pPr>
        <w:spacing w:line="360" w:lineRule="auto" w:after="120"/>
      </w:pPr>
      <w:r>
        <w:t>市县合并不仅提高了个体工资水平，还改善了交通连接性、税收执法效率，并使得农民工更容易获得本地户口。在合并区域，交通连通性改善的衡量标准是从县城到市中心的旅行时间减少，税收执法效率的提高则反映了更好的治理。</w:t>
      </w:r>
    </w:p>
    <w:p>
      <w:pPr>
        <w:spacing w:line="360" w:lineRule="auto" w:after="120"/>
      </w:pPr>
      <w:r>
        <w:t>这些发现表明，打破行政障碍和整合治理可以产生实质性的经济利益。市县合并作为一种行政整合的方式，可以克服市场分割，释放经济增长潜力。然而，经济利益分配不均的问题也不容忽视。政策使得当地居民的工资增长远超过外来务工人员，扩大了原有的工资差距，表明这些政策并不是分配上中立的，可能无意中加剧不平等。</w:t>
      </w:r>
    </w:p>
    <w:p>
      <w:pPr>
        <w:spacing w:line="360" w:lineRule="auto" w:after="120"/>
      </w:pPr>
      <w:r>
        <w:t>为确保增长变得更加包容，政府在继续推进行政整合的同时，必须确保新的投资和就业机会对包括移民人口在内的所有人开放。尽管市县合并为地方经济带来了显著的增长和工资提升，但必须注意到，这种增长需要设计得更加平衡，以避免不平等的加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