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E953" w14:textId="77777777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0EC08672" w14:textId="4181BA05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do Programa é constituído, na média dos quatro anos, por 12 professores permanentes,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2 colaboradores e nenhum visitante. A proporção do NDP com produção alinhada à proposta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 é muito boa, de acordo com os parâmetros da área para o item 2.1 (pelo menos 85% 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professores estão alinhados).</w:t>
      </w:r>
    </w:p>
    <w:p w14:paraId="70892BB9" w14:textId="77777777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DCB8819" w14:textId="21516BCB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não depende de professores colaboradores ou visitantes, de acordo com os parâmetros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área (menos do que 20% das orientações e horas-aula estão sob a responsabilidade dos colaboradores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ou visitantes). Todos os docentes permanentes apresentaram no período até três vínculos com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Programas de pós-graduação (atendendo à Portaria 81/2016) e atendem aos parâmetros da área quanto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à proporção de professores em regime integral (mais de 50% do NDP). A estabilidade do corpo docente</w:t>
      </w:r>
    </w:p>
    <w:p w14:paraId="38E2F98D" w14:textId="7A5401BB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permanente permite atribuir o conceito muito bom, segundo os parâmetros da área, para o item 2.2 (pelo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menos 75% dos docentes permanentes foram mantidos no Programa ao longo do quadriênio).</w:t>
      </w:r>
    </w:p>
    <w:p w14:paraId="5C674BE0" w14:textId="77777777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EF1234A" w14:textId="2BC8ED7C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boa a proporção de docentes permanentes com projetos de pesquisa com financiamento externo,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acordo com os parâmetros da área (superior a 70%). É muito boa a proporção dos docentes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permanentes que tiveram pelo menos 60 horas</w:t>
      </w:r>
      <w:r w:rsidR="005A6EDE">
        <w:rPr>
          <w:rFonts w:ascii="Arial" w:hAnsi="Arial" w:cs="Arial"/>
          <w:lang w:val="pt-BR"/>
        </w:rPr>
        <w:t>-</w:t>
      </w:r>
      <w:r>
        <w:rPr>
          <w:rFonts w:ascii="Arial" w:hAnsi="Arial" w:cs="Arial"/>
          <w:lang w:val="pt-BR"/>
        </w:rPr>
        <w:t>aula no programa durante o quadriênio, segundo 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parâmetros da área (pelo menos 85%). Em conjunto, estas métricas resultam em conceito muito bom no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item 2.3.</w:t>
      </w:r>
    </w:p>
    <w:p w14:paraId="673D070E" w14:textId="77777777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E3C273C" w14:textId="7C38061B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dos docentes permanentes com atividades na graduação é muito boa, de acordo com 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parâmetros da área, para o item 2.4 (pelo menos 85%). Nenhum docente permanente ministrou mais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300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h</w:t>
      </w:r>
      <w:r>
        <w:rPr>
          <w:rFonts w:ascii="Arial" w:hAnsi="Arial" w:cs="Arial"/>
          <w:lang w:val="pt-BR"/>
        </w:rPr>
        <w:t>oras</w:t>
      </w:r>
      <w:r>
        <w:rPr>
          <w:rFonts w:ascii="Arial" w:hAnsi="Arial" w:cs="Arial"/>
          <w:lang w:val="pt-BR"/>
        </w:rPr>
        <w:t xml:space="preserve"> na graduação por ano, em média, no período analisado.</w:t>
      </w:r>
    </w:p>
    <w:p w14:paraId="52E7DF80" w14:textId="77777777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1489EC4" w14:textId="5E9E05C9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docentes permanentes que participaram de eventos científicos da área, com publicação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ou apresentação de palestras, é muito boa pelos parâmetros da área para o item 2.5.</w:t>
      </w:r>
    </w:p>
    <w:p w14:paraId="0C848A42" w14:textId="77777777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9FF83C5" w14:textId="77777777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73DD5C07" w14:textId="6A6EE9BE" w:rsidR="001020AC" w:rsidRPr="00437F39" w:rsidRDefault="00437F39" w:rsidP="00437F39">
      <w:r>
        <w:rPr>
          <w:rFonts w:ascii="Arial" w:hAnsi="Arial" w:cs="Arial"/>
          <w:lang w:val="pt-BR"/>
        </w:rPr>
        <w:t>Nada a acrescentar.</w:t>
      </w:r>
    </w:p>
    <w:sectPr w:rsidR="001020AC" w:rsidRPr="00437F3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F4986"/>
    <w:multiLevelType w:val="multilevel"/>
    <w:tmpl w:val="9B92D45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4E3578"/>
    <w:multiLevelType w:val="multilevel"/>
    <w:tmpl w:val="02BA17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FF20B1F"/>
    <w:multiLevelType w:val="multilevel"/>
    <w:tmpl w:val="AE36E42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7805A37"/>
    <w:multiLevelType w:val="multilevel"/>
    <w:tmpl w:val="85C8CA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D5F5451"/>
    <w:multiLevelType w:val="multilevel"/>
    <w:tmpl w:val="B8ECDD8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91576CB"/>
    <w:multiLevelType w:val="multilevel"/>
    <w:tmpl w:val="3CB0BAE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223A80"/>
    <w:multiLevelType w:val="multilevel"/>
    <w:tmpl w:val="DBD4EF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02157423">
    <w:abstractNumId w:val="1"/>
  </w:num>
  <w:num w:numId="2" w16cid:durableId="802817003">
    <w:abstractNumId w:val="2"/>
  </w:num>
  <w:num w:numId="3" w16cid:durableId="914097308">
    <w:abstractNumId w:val="0"/>
  </w:num>
  <w:num w:numId="4" w16cid:durableId="1836148407">
    <w:abstractNumId w:val="6"/>
  </w:num>
  <w:num w:numId="5" w16cid:durableId="383023312">
    <w:abstractNumId w:val="4"/>
  </w:num>
  <w:num w:numId="6" w16cid:durableId="1395354187">
    <w:abstractNumId w:val="5"/>
  </w:num>
  <w:num w:numId="7" w16cid:durableId="853300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0AC"/>
    <w:rsid w:val="001020AC"/>
    <w:rsid w:val="00437F39"/>
    <w:rsid w:val="005A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0B434"/>
  <w15:docId w15:val="{BD27ECD1-07F2-4C0A-999C-BE02D1FD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2023-06-12T14:46:00Z</dcterms:modified>
  <dc:language>pt-BR</dc:language>
</cp:coreProperties>
</file>