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5188" w14:textId="5029C718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Na questão educacional, o PPG tem atuação na formação de outros níveis de ensino, como, por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exemplo, na oferta de especializações envolvendo conhecimentos da área de Administração Pública e do Direito.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Também foi relatada a participação de discentes do Mestrado em atividades da Graduação e a existência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Laboratório de Pesquisa, que consiste em um grupo de estudo e pesquisa voltado para os alunos da graduação.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Além disto, o PPG vem realizando cursos gratuitos voltados para capacitação de estudantes do Ensino Médio.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Quanto ao impacto social, o Programa realiza eventos envolvendo a comunidade para a discussão de temas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relevantes da Administração Pública. Quanto ao impacto tecnológico/econômico, os docentes do PPG têm atuação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relevante em organizações públicas e contribuem para a difusão do conhecimento sobre o campo por meio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entrevistas e artigos em revistas e jornais de grande circulação, tais como a Folha de São Paulo, o Estado de São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Paulo e Conjuntura Econômica, com temas voltados para a gestão pública. O impacto do programa é considerado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bom.</w:t>
      </w:r>
    </w:p>
    <w:p w14:paraId="4163D4A1" w14:textId="77777777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C6A8C3B" w14:textId="5D47E908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participa de programas sistemáticos de cooperação e intercâmbio por meio de convênios institucionais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mantidos pelo IDP com instituições como: Associação dos Gestores em Políticas Públicas e Gestão Governamental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Distrito Federal (ADESP/DF); Associação dos Servidores do Fundo Nacional de Desenvolvimento da Educação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(ASSFNDE); Associação Goiana de Municípios (AGM); Associação Nacional dos Servidores da Carreira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Planejamento e Orçamento (ASSECOR); Associação Nacional dos Auditores Fiscais da Receita Federal do Brasil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(UNAFISCO); Associação Nacional dos Especialistas em Políticas Públicas e Gestão Governamental (ANESP);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Confederação Nacional dos Municípios (CNM); Escola Superior de Advocacia (ESA – OAB/DF); Fundação João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Mangabeira (FJM); Fórum Nacional Permanente de Carreiras Típicas de Estado (FONACATE); Sindicato Nacional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dos Servidores das Agências Nacionais de Regulação (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Sinagencias</w:t>
      </w:r>
      <w:proofErr w:type="spellEnd"/>
      <w:r>
        <w:rPr>
          <w:rFonts w:ascii="Arial" w:hAnsi="Arial" w:cs="Arial"/>
          <w:sz w:val="20"/>
          <w:szCs w:val="20"/>
          <w:lang w:val="pt-BR"/>
        </w:rPr>
        <w:t>); Sindicato Nacional dos Analistas e Técnicos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Finanças e Controle (UNACON). O IDP possui convênios com 06 </w:t>
      </w:r>
      <w:r>
        <w:rPr>
          <w:rFonts w:ascii="Arial" w:hAnsi="Arial" w:cs="Arial"/>
          <w:sz w:val="20"/>
          <w:szCs w:val="20"/>
          <w:lang w:val="pt-BR"/>
        </w:rPr>
        <w:t>instituições</w:t>
      </w:r>
      <w:r>
        <w:rPr>
          <w:rFonts w:ascii="Arial" w:hAnsi="Arial" w:cs="Arial"/>
          <w:sz w:val="20"/>
          <w:szCs w:val="20"/>
          <w:lang w:val="pt-BR"/>
        </w:rPr>
        <w:t xml:space="preserve"> de ensino estrangeiras, realizando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atividades regulares de intercambio de alunos e professores. No ano de 2016, como resultado foram realizadas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atividades de intercambio de alunos e professores, </w:t>
      </w:r>
      <w:r>
        <w:rPr>
          <w:rFonts w:ascii="Arial" w:hAnsi="Arial" w:cs="Arial"/>
          <w:sz w:val="20"/>
          <w:szCs w:val="20"/>
          <w:lang w:val="pt-BR"/>
        </w:rPr>
        <w:t>além</w:t>
      </w:r>
      <w:r>
        <w:rPr>
          <w:rFonts w:ascii="Arial" w:hAnsi="Arial" w:cs="Arial"/>
          <w:sz w:val="20"/>
          <w:szCs w:val="20"/>
          <w:lang w:val="pt-BR"/>
        </w:rPr>
        <w:t xml:space="preserve"> do compartilhamento e </w:t>
      </w:r>
      <w:r>
        <w:rPr>
          <w:rFonts w:ascii="Arial" w:hAnsi="Arial" w:cs="Arial"/>
          <w:sz w:val="20"/>
          <w:szCs w:val="20"/>
          <w:lang w:val="pt-BR"/>
        </w:rPr>
        <w:t>produção</w:t>
      </w:r>
      <w:r>
        <w:rPr>
          <w:rFonts w:ascii="Arial" w:hAnsi="Arial" w:cs="Arial"/>
          <w:sz w:val="20"/>
          <w:szCs w:val="20"/>
          <w:lang w:val="pt-BR"/>
        </w:rPr>
        <w:t xml:space="preserve"> conjunta de pesquisas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artigos </w:t>
      </w:r>
      <w:r>
        <w:rPr>
          <w:rFonts w:ascii="Arial" w:hAnsi="Arial" w:cs="Arial"/>
          <w:sz w:val="20"/>
          <w:szCs w:val="20"/>
          <w:lang w:val="pt-BR"/>
        </w:rPr>
        <w:t>científicos</w:t>
      </w:r>
      <w:r>
        <w:rPr>
          <w:rFonts w:ascii="Arial" w:hAnsi="Arial" w:cs="Arial"/>
          <w:sz w:val="20"/>
          <w:szCs w:val="20"/>
          <w:lang w:val="pt-BR"/>
        </w:rPr>
        <w:t>. O PPG pratica a cooperação do PPG com outras organizações internacionais como: Washington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College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Law (WCL) – Washington, D.C., EUA; Penn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State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– Pensilvânia, EUA; Instituto de Ciências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Jurídico-Políticas (ICPJ) – Lisboa, Portugal;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Texas – Austin;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Fachhochschule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für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öffentliche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Verwaltung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NRW – Alemanha; Fundação Peter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Häberle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– Granada, Espanha. O PPG tem efetiva integração e cooperação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outras IES e organizações. A integração e cooperação são consideradas muito boas.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12B65C7B" w14:textId="77777777" w:rsid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C41C4D" w14:textId="520E1C7E" w:rsidR="000F6097" w:rsidRPr="00E3556C" w:rsidRDefault="00E3556C" w:rsidP="00E3556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apresenta site na internet, embora não foi informada a data da última atualização. O site do programa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 as informações sobre seleção dos alunos. O acesso ao site é realizado mediante cadastro, reduzindo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visibilidade do PPG. O site do programa apresenta as informações sobre seleção dos alunos. Não indica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científica dos docentes e discentes. O acesso a estes dados também não foi informado nos documentos. A avaliação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deste item foi fraco.</w:t>
      </w:r>
    </w:p>
    <w:sectPr w:rsidR="000F6097" w:rsidRPr="00E3556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FE2"/>
    <w:multiLevelType w:val="multilevel"/>
    <w:tmpl w:val="013828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212963"/>
    <w:multiLevelType w:val="multilevel"/>
    <w:tmpl w:val="E0BE54B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0D4471"/>
    <w:multiLevelType w:val="multilevel"/>
    <w:tmpl w:val="CFF8EEB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FA4F8A"/>
    <w:multiLevelType w:val="multilevel"/>
    <w:tmpl w:val="6928845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467A7B"/>
    <w:multiLevelType w:val="multilevel"/>
    <w:tmpl w:val="2EF48C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0C20C84"/>
    <w:multiLevelType w:val="multilevel"/>
    <w:tmpl w:val="9CD05E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0B577A"/>
    <w:multiLevelType w:val="multilevel"/>
    <w:tmpl w:val="7A9063B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77024105">
    <w:abstractNumId w:val="1"/>
  </w:num>
  <w:num w:numId="2" w16cid:durableId="865679722">
    <w:abstractNumId w:val="6"/>
  </w:num>
  <w:num w:numId="3" w16cid:durableId="1353994277">
    <w:abstractNumId w:val="5"/>
  </w:num>
  <w:num w:numId="4" w16cid:durableId="86196092">
    <w:abstractNumId w:val="3"/>
  </w:num>
  <w:num w:numId="5" w16cid:durableId="1988321200">
    <w:abstractNumId w:val="2"/>
  </w:num>
  <w:num w:numId="6" w16cid:durableId="1928078971">
    <w:abstractNumId w:val="0"/>
  </w:num>
  <w:num w:numId="7" w16cid:durableId="134119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097"/>
    <w:rsid w:val="000F6097"/>
    <w:rsid w:val="00E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113C"/>
  <w15:docId w15:val="{A6440430-858E-40E6-AC2C-3E3CB47B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2023-06-12T11:25:00Z</dcterms:modified>
  <dc:language>pt-BR</dc:language>
</cp:coreProperties>
</file>