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EEDF" w14:textId="77777777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23E26009" w14:textId="6CD924AD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2.1 O PPG teve em média 20 docentes permanentes, sendo que esse número variou para maior durante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quadriênio, indo de 16 em 2013 para 27 em 2016, todos com Doutorado. Teve excesso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colaboradores, com um total de 22 professores, no quadriênio. Todos os docentes permanentes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conduziram orientações no período de avaliação.</w:t>
      </w:r>
    </w:p>
    <w:p w14:paraId="5DEE6A06" w14:textId="77777777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D5A626" w14:textId="5EDA3324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Percebe-se, a partir das produções, que parte do corpo docente não está alinhado ao escopo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programa. O conceito corresponde a regular, segundo os parâmetros a área (ajuste do perfil do NDP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entre 55% e 70%). Todos os docentes permanentes </w:t>
      </w:r>
      <w:r>
        <w:rPr>
          <w:rFonts w:ascii="Arial" w:hAnsi="Arial" w:cs="Arial"/>
          <w:lang w:val="pt-BR"/>
        </w:rPr>
        <w:t>possuem doutorado</w:t>
      </w:r>
      <w:r>
        <w:rPr>
          <w:rFonts w:ascii="Arial" w:hAnsi="Arial" w:cs="Arial"/>
          <w:lang w:val="pt-BR"/>
        </w:rPr>
        <w:t>. Esse item resulta regular.</w:t>
      </w:r>
    </w:p>
    <w:p w14:paraId="11BA39B9" w14:textId="77777777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7D8C309" w14:textId="6866CB84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2.2 Todos os docentes permanentes lecionaram ao menos 60h/a ou o equivalente, no período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avaliação (muito bom). A estabilidade do corpo docente permanente é muito boa, já que apenas um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professor deixou o grupo no período de avaliação. O restante da variação ocorreu por novos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credenciamentos. Todos possuem vínculo de 40h na IES. Existe dependência de colaboradores para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condução das atividades de orientações, já que esses professores foram responsáveis por mais de 20%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das orientações. Item avaliado como bom.</w:t>
      </w:r>
    </w:p>
    <w:p w14:paraId="23E12AFC" w14:textId="77777777" w:rsidR="00034144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B827B1" w14:textId="6E209273" w:rsidR="00BC1AA8" w:rsidRDefault="00034144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2.3 A proporção do NDP com projetos de pesquisa com financiamento externo ficou fraco (entre 3% a 5%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DP). O coeficiente de distribuição de orientação entre os docentes permanentes foi bom (estrato 0,65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0,90), resultando no conceito regular para esse item.</w:t>
      </w:r>
    </w:p>
    <w:p w14:paraId="05CF5679" w14:textId="77777777" w:rsidR="00AD7FAA" w:rsidRDefault="00AD7FAA" w:rsidP="000341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AC071E" w14:textId="77777777" w:rsidR="00AD7FAA" w:rsidRDefault="00AD7FAA" w:rsidP="00AD7FA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577EE0BE" w14:textId="7F99D4F9" w:rsidR="00AD7FAA" w:rsidRPr="00034144" w:rsidRDefault="00AD7FAA" w:rsidP="00AD7FA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Nada a acrescentar.</w:t>
      </w:r>
    </w:p>
    <w:sectPr w:rsidR="00AD7FAA" w:rsidRPr="0003414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FFB"/>
    <w:multiLevelType w:val="multilevel"/>
    <w:tmpl w:val="80D4C9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5C6885"/>
    <w:multiLevelType w:val="multilevel"/>
    <w:tmpl w:val="12767F8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15170F"/>
    <w:multiLevelType w:val="multilevel"/>
    <w:tmpl w:val="8B54A2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9025E2"/>
    <w:multiLevelType w:val="multilevel"/>
    <w:tmpl w:val="ECB0CB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DB586A"/>
    <w:multiLevelType w:val="multilevel"/>
    <w:tmpl w:val="49BE727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4AF61F5"/>
    <w:multiLevelType w:val="multilevel"/>
    <w:tmpl w:val="95DA445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3212DA"/>
    <w:multiLevelType w:val="multilevel"/>
    <w:tmpl w:val="D61A5A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79029831">
    <w:abstractNumId w:val="6"/>
  </w:num>
  <w:num w:numId="2" w16cid:durableId="140925351">
    <w:abstractNumId w:val="3"/>
  </w:num>
  <w:num w:numId="3" w16cid:durableId="2096705962">
    <w:abstractNumId w:val="5"/>
  </w:num>
  <w:num w:numId="4" w16cid:durableId="1458640961">
    <w:abstractNumId w:val="2"/>
  </w:num>
  <w:num w:numId="5" w16cid:durableId="1779639829">
    <w:abstractNumId w:val="1"/>
  </w:num>
  <w:num w:numId="6" w16cid:durableId="2087067885">
    <w:abstractNumId w:val="4"/>
  </w:num>
  <w:num w:numId="7" w16cid:durableId="19604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AA8"/>
    <w:rsid w:val="00034144"/>
    <w:rsid w:val="00AD7FAA"/>
    <w:rsid w:val="00B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4C1B"/>
  <w15:docId w15:val="{B3F0FFC3-CBAC-4AED-991A-C6A8C8E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2023-06-12T12:13:00Z</dcterms:modified>
  <dc:language>pt-BR</dc:language>
</cp:coreProperties>
</file>