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F99F" w14:textId="77777777" w:rsidR="00F96CE5" w:rsidRDefault="00F96CE5" w:rsidP="00F96C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70DB2FCE" w14:textId="77777777" w:rsidR="00F96CE5" w:rsidRDefault="00F96CE5" w:rsidP="00F96C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iniciou atividades em 2011. Durante o período de avaliação foi encerrada uma das áreas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concentração (Gestão de organizações públicas) e duas novas foram abertas o que resultou em três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áreas: Gestão de instituições públicas e sociais; Gestão pública, tecnologias e inovação; e Gestão social,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políticas públicas e controle social. As linhas de atuação replicam as áreas de concentração. Não fica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claro a configuração adotada, considerando que áreas de concentração demandam disciplinas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obrigatórias que as caracterizem. Em 2013, o curso foi oferecido no formato semipresencial. Entretanto,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não apresenta uma descrição se o formato semipresencial ainda está sendo adotado, ou qual o resultado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dessa adoção. A estrutura curricular abriga dois conjuntos de disciplinas com formatos diferentes: um</w:t>
      </w:r>
      <w:r>
        <w:rPr>
          <w:rFonts w:ascii="Arial" w:hAnsi="Arial" w:cs="Arial"/>
          <w:lang w:val="pt-BR"/>
        </w:rPr>
        <w:t xml:space="preserve">a </w:t>
      </w:r>
      <w:r>
        <w:rPr>
          <w:rFonts w:ascii="Arial" w:hAnsi="Arial" w:cs="Arial"/>
          <w:lang w:val="pt-BR"/>
        </w:rPr>
        <w:t>delas com diversidade de fontes, nacionais e estrangeiras; e outro com referências nacionais, sobretudo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 livros textos que não refletem o estado da arte. Assim, ementas de algumas disciplinas apresentam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referências que não asseguram uma formação atualizada. A maioria dos projetos de pesquisa abordam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temas que refletem a especificidade de cada linha de atuação.</w:t>
      </w:r>
    </w:p>
    <w:p w14:paraId="5CF4F7B3" w14:textId="77777777" w:rsidR="00F96CE5" w:rsidRDefault="00F96CE5" w:rsidP="00F96C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168C157" w14:textId="720A54F1" w:rsidR="00F96CE5" w:rsidRDefault="00F96CE5" w:rsidP="00F96C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Destaca-se a presença de projetos que estabelecem interação com organizações locais importantes e 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financiamento pela FAPMIG. Contudo, não estão presentes informações sobre outros convênios e 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resultado deles.</w:t>
      </w:r>
    </w:p>
    <w:p w14:paraId="192500D5" w14:textId="77777777" w:rsidR="00F96CE5" w:rsidRDefault="00F96CE5" w:rsidP="00F96C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E84A22E" w14:textId="374076F3" w:rsidR="00F96CE5" w:rsidRDefault="00F96CE5" w:rsidP="00F96C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infraestrutura para ensino, pesquisa e administração é adequada e compatível com o tamanho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especificidade do programa de formação discente. O número de salas para docentes não foi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apresentado. O programa disponibiliza 01 e sala com computadores e capacidade para 15 alunos (Sala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 Núcleo de Pesquisa). Existe acesso amplo e fácil para base de periódicos e dados (Periódicos Capes).</w:t>
      </w:r>
    </w:p>
    <w:p w14:paraId="4D3CFC6B" w14:textId="77777777" w:rsidR="00F96CE5" w:rsidRDefault="00F96CE5" w:rsidP="00F96C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14E8346" w14:textId="77777777" w:rsidR="00F96CE5" w:rsidRDefault="00F96CE5" w:rsidP="00F96C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evidencia critérios de seleção de candidatos e regras de credenciamento docente.</w:t>
      </w:r>
    </w:p>
    <w:p w14:paraId="6C0C1A34" w14:textId="77777777" w:rsidR="00F96CE5" w:rsidRDefault="00F96CE5" w:rsidP="00F96C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68A821C" w14:textId="7A373F7D" w:rsidR="00F96CE5" w:rsidRDefault="00F96CE5" w:rsidP="00F96C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não apresenta o planejamento com vistas ao seu desenvolvimento, especificamente no que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diz respeito relevância e impacto local, regional e nacional para 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campo profissional, definição clara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mecanismos para ampliar a produção e divulgação do conhecimento na forma de artigos e produções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técnicas e tecnológicas, inserção regional e nacional, resultados de convênios de cooperação tecnológica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ou científica.</w:t>
      </w:r>
    </w:p>
    <w:p w14:paraId="57F7D54B" w14:textId="77777777" w:rsidR="00F96CE5" w:rsidRDefault="00F96CE5" w:rsidP="00F96C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AAE5226" w14:textId="77777777" w:rsidR="00F96CE5" w:rsidRDefault="00F96CE5" w:rsidP="00F96C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5DCC6C2E" w14:textId="1C925DD0" w:rsidR="00F96CE5" w:rsidRPr="00F96CE5" w:rsidRDefault="00F96CE5" w:rsidP="00F96C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Nada a acrescentar.</w:t>
      </w:r>
    </w:p>
    <w:sectPr w:rsidR="00F96CE5" w:rsidRPr="00F96CE5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3FB5"/>
    <w:multiLevelType w:val="multilevel"/>
    <w:tmpl w:val="7DB4D7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6DB04B2"/>
    <w:multiLevelType w:val="multilevel"/>
    <w:tmpl w:val="C276BD3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8D841FA"/>
    <w:multiLevelType w:val="multilevel"/>
    <w:tmpl w:val="B198BC1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9087425"/>
    <w:multiLevelType w:val="multilevel"/>
    <w:tmpl w:val="F746BCF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3B585E"/>
    <w:multiLevelType w:val="multilevel"/>
    <w:tmpl w:val="9594CF5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EF25507"/>
    <w:multiLevelType w:val="multilevel"/>
    <w:tmpl w:val="77F2EF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F8A7771"/>
    <w:multiLevelType w:val="multilevel"/>
    <w:tmpl w:val="0E5E8FB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329595206">
    <w:abstractNumId w:val="6"/>
  </w:num>
  <w:num w:numId="2" w16cid:durableId="1379669601">
    <w:abstractNumId w:val="4"/>
  </w:num>
  <w:num w:numId="3" w16cid:durableId="345407027">
    <w:abstractNumId w:val="3"/>
  </w:num>
  <w:num w:numId="4" w16cid:durableId="17199167">
    <w:abstractNumId w:val="2"/>
  </w:num>
  <w:num w:numId="5" w16cid:durableId="159197038">
    <w:abstractNumId w:val="1"/>
  </w:num>
  <w:num w:numId="6" w16cid:durableId="1863858325">
    <w:abstractNumId w:val="5"/>
  </w:num>
  <w:num w:numId="7" w16cid:durableId="41694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60DD"/>
    <w:rsid w:val="001D60DD"/>
    <w:rsid w:val="00F9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A6AC"/>
  <w15:docId w15:val="{98C07736-D996-4A3E-BDED-AA6C30BA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367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2023-06-12T12:23:00Z</dcterms:modified>
  <dc:language>pt-BR</dc:language>
</cp:coreProperties>
</file>