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0941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3FAD7FA7" w14:textId="2115128F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é constituído, na média dos quatro anos, por 12 professores permanentes e 04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colaboradores. Todos os DP são doutores. O perfil do corpo docente é parcialmente alinhado à proposta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formação discente, sendo que recebeu avaliação bom pelos parâmetros da área (entre 70 e 85%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DP alinhados).</w:t>
      </w:r>
    </w:p>
    <w:p w14:paraId="2B0E93B2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860D524" w14:textId="6343A082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docentes declarados como permanentes e que atuaram no PPG no período concluíram orientações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ministraram no mínimo 60h aula no quadriênio, o que remete ao conceito muito bom, segundo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 (acima de 85% dos DP permaneceram no PPG). O corpo docente apresentou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reduzida oscilação pelos parâmetros da área (75% dos DP mantidos no quadriênio).</w:t>
      </w:r>
    </w:p>
    <w:p w14:paraId="04E90233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235CD13" w14:textId="068D21B8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maioria dos docentes permanentes têm vínculo de 40 horas com a IES, o que atende à Portaria CAPES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>úmero</w:t>
      </w:r>
      <w:r>
        <w:rPr>
          <w:rFonts w:ascii="Arial" w:hAnsi="Arial" w:cs="Arial"/>
          <w:lang w:val="pt-BR"/>
        </w:rPr>
        <w:t xml:space="preserve"> 81/2016.</w:t>
      </w:r>
    </w:p>
    <w:p w14:paraId="6827F403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560D8F0" w14:textId="049B6BDF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maioria dos DP lideraram projetos de pesquisa voltados para as linhas de pesquisa públicas 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financiamento externo à instituição durante o quadriênio, o que é considerado muito bom pelos critérios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 Área (proporção de docentes que lideraram projetos com financiamento acima ou igual a 50%).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coeficiente de variação da distribuição das orientações atingiu o nível bom. Desta forma, o item 2.3 foi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avaliado com conceito muito bom.</w:t>
      </w:r>
    </w:p>
    <w:p w14:paraId="0596A7DC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F6F534B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0CDB3180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2.1</w:t>
      </w:r>
    </w:p>
    <w:p w14:paraId="597F82AB" w14:textId="0442E380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à medida em que o perfil do corpo docente não está totalmente alinhado à proposta de formação discente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tendo em vista áreas de projetos e produção. Assim, recomenda-se a manutenção do conceito para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item.</w:t>
      </w:r>
    </w:p>
    <w:p w14:paraId="0BC4AF18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2.2</w:t>
      </w:r>
    </w:p>
    <w:p w14:paraId="4E986CC0" w14:textId="09237852" w:rsidR="00144566" w:rsidRP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Destaca-se a dependência de colaboradores acima do nível aceitável para os parâmetros da área (acima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20%). Assim, recomenda-se a manutenção do conceito para o item.</w:t>
      </w:r>
    </w:p>
    <w:sectPr w:rsidR="00144566" w:rsidRPr="005338E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FAB"/>
    <w:multiLevelType w:val="multilevel"/>
    <w:tmpl w:val="8528B9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0415CB"/>
    <w:multiLevelType w:val="multilevel"/>
    <w:tmpl w:val="9A8C9D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9A43E3"/>
    <w:multiLevelType w:val="multilevel"/>
    <w:tmpl w:val="2E0E18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364EAA"/>
    <w:multiLevelType w:val="multilevel"/>
    <w:tmpl w:val="0A8261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C56187"/>
    <w:multiLevelType w:val="multilevel"/>
    <w:tmpl w:val="8EB2AE0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F57692"/>
    <w:multiLevelType w:val="multilevel"/>
    <w:tmpl w:val="00EEE7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275549"/>
    <w:multiLevelType w:val="multilevel"/>
    <w:tmpl w:val="47003FD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96103190">
    <w:abstractNumId w:val="4"/>
  </w:num>
  <w:num w:numId="2" w16cid:durableId="1653564367">
    <w:abstractNumId w:val="6"/>
  </w:num>
  <w:num w:numId="3" w16cid:durableId="443892198">
    <w:abstractNumId w:val="2"/>
  </w:num>
  <w:num w:numId="4" w16cid:durableId="1633319895">
    <w:abstractNumId w:val="5"/>
  </w:num>
  <w:num w:numId="5" w16cid:durableId="2056391875">
    <w:abstractNumId w:val="0"/>
  </w:num>
  <w:num w:numId="6" w16cid:durableId="486360563">
    <w:abstractNumId w:val="3"/>
  </w:num>
  <w:num w:numId="7" w16cid:durableId="179255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566"/>
    <w:rsid w:val="00144566"/>
    <w:rsid w:val="0053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75A0"/>
  <w15:docId w15:val="{DB7C6166-10BD-4476-9F19-4D94067C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2023-06-12T12:41:00Z</dcterms:modified>
  <dc:language>pt-BR</dc:language>
</cp:coreProperties>
</file>