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B19D" w14:textId="7A12690D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Mestrado em Administração foi criado em 2005, com foco em Administração Pública. Aprovado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dezembro de 2015, com área de concentração em Administração Pública, o Doutorado iniciou no dia 1 de março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2016. A área de concentração em Administração Pública está composta por duas linhas de pesquisa: - Gestão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Organizações Públicas, Governança e Sociedade – GPS; - Governo, Políticas Públicas e Desenvolvimento – GPD.</w:t>
      </w:r>
    </w:p>
    <w:p w14:paraId="6E3EB3F2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E7BD88E" w14:textId="30FDC068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As linhas de pesquisa são atuais e são coerentes e consistentes com a área de concentração, expressando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especificidade da produção do conhecimento produzido no âmbito do programa.</w:t>
      </w:r>
    </w:p>
    <w:p w14:paraId="1B2D198A" w14:textId="6BF7CFC9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estrutura curricular abriga um conjunto de disciplinas que evidenciam o estado da arte dos temas propostos,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alinhadas a área de concentração. As referências bibliográficas de algumas disciplinas da área de concentração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necessitam atualização. Existe possibilidade de formação em metodologias quantitativas e qualitativas de pesquisa.</w:t>
      </w:r>
    </w:p>
    <w:p w14:paraId="09203915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1F838B6" w14:textId="1C72249E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Foram 136 projetos desenvolvidos no quadriênio, alinhados a área de concentração e linhas de pesquisa. Existe uma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distribuição razoavelmente equilibrada dos projetos entre as duas linhas de pesquisa (43% na linha GPS e 57%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linha GPD).</w:t>
      </w:r>
    </w:p>
    <w:p w14:paraId="5763DE2E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A6AF98B" w14:textId="040E3ED2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Mais de 80% dos alunos são originários da graduação da área de Administração, seguido de Ciências Contábeis.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quadriênio de 2013 a 2016, passou a atrair mais profissionais formados na graduação em áreas como: direito,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ciências sociais, arquitetura, educação, economia, serviço social e turismo, sempre com preponderância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bacharelado em administração.</w:t>
      </w:r>
    </w:p>
    <w:p w14:paraId="7B53577A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3951C14" w14:textId="13D75715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O doutorado iniciou em 2016, com 6 (seis) alunos. Desde 2015, o PPGA recebeu dois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pós</w:t>
      </w:r>
      <w:r>
        <w:rPr>
          <w:rFonts w:ascii="Arial" w:hAnsi="Arial" w:cs="Arial"/>
          <w:sz w:val="20"/>
          <w:szCs w:val="20"/>
          <w:lang w:val="pt-BR"/>
        </w:rPr>
        <w:t>-</w:t>
      </w:r>
      <w:r>
        <w:rPr>
          <w:rFonts w:ascii="Arial" w:hAnsi="Arial" w:cs="Arial"/>
          <w:sz w:val="20"/>
          <w:szCs w:val="20"/>
          <w:lang w:val="pt-BR"/>
        </w:rPr>
        <w:t>doutorandos</w:t>
      </w:r>
      <w:proofErr w:type="spellEnd"/>
      <w:r>
        <w:rPr>
          <w:rFonts w:ascii="Arial" w:hAnsi="Arial" w:cs="Arial"/>
          <w:sz w:val="20"/>
          <w:szCs w:val="20"/>
          <w:lang w:val="pt-BR"/>
        </w:rPr>
        <w:t>, um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UFRRJ (com bolsa PNPD/CAPES) e outro da UFOP.</w:t>
      </w:r>
    </w:p>
    <w:p w14:paraId="158F21E0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DD92852" w14:textId="5E4F8E9A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tem um planejamento de desenvolvimento institucional, visando a consolidação em nível local, nacional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 internacional. É notado o esforço em desenvolver uma série de eventos (seminários e cursos de curta duração)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intercâmbios com universidades dos EUA, Espanha, Portugal, Suíça, Reino Unido entre outros, além de desenvolver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também eventos e intercâmbios com várias universidades brasileiras.</w:t>
      </w:r>
    </w:p>
    <w:p w14:paraId="0972C803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6EF58C8" w14:textId="4D2A1CB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infraestrutura de salas e laboratórios é adequada, boa parte compartilhadas com o Departamento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Administração e Contabilidade (DAD), com duas salas de aula exclusivas para 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PPGAdm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(não fizeram menção para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salas de uso exclusivo de alunos, mas de salas de apoio do DAD).</w:t>
      </w:r>
    </w:p>
    <w:p w14:paraId="063BEA0C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34DF559" w14:textId="4F0766CA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Os laboratórios são equipados de forma adequada, tanto em hardware quanto em softwares específicos, em especial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para as análises quali</w:t>
      </w:r>
      <w:r>
        <w:rPr>
          <w:rFonts w:ascii="Arial" w:hAnsi="Arial" w:cs="Arial"/>
          <w:sz w:val="20"/>
          <w:szCs w:val="20"/>
          <w:lang w:val="pt-BR"/>
        </w:rPr>
        <w:t>tativamente</w:t>
      </w:r>
      <w:r>
        <w:rPr>
          <w:rFonts w:ascii="Arial" w:hAnsi="Arial" w:cs="Arial"/>
          <w:sz w:val="20"/>
          <w:szCs w:val="20"/>
          <w:lang w:val="pt-BR"/>
        </w:rPr>
        <w:t xml:space="preserve"> e quantitativas.</w:t>
      </w:r>
    </w:p>
    <w:p w14:paraId="7F1D425D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5A54B53" w14:textId="72041984" w:rsidR="00FA3671" w:rsidRP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 xml:space="preserve">Além da biblioteca central e outras </w:t>
      </w:r>
      <w:r>
        <w:rPr>
          <w:rFonts w:ascii="Arial" w:hAnsi="Arial" w:cs="Arial"/>
          <w:sz w:val="20"/>
          <w:szCs w:val="20"/>
          <w:lang w:val="pt-BR"/>
        </w:rPr>
        <w:t>setoriais</w:t>
      </w:r>
      <w:r>
        <w:rPr>
          <w:rFonts w:ascii="Arial" w:hAnsi="Arial" w:cs="Arial"/>
          <w:sz w:val="20"/>
          <w:szCs w:val="20"/>
          <w:lang w:val="pt-BR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PPGAdm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conta com biblioteca específica. Possui acesso às principais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bases de dados.</w:t>
      </w:r>
    </w:p>
    <w:sectPr w:rsidR="00FA3671" w:rsidRPr="00585E6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391"/>
    <w:multiLevelType w:val="multilevel"/>
    <w:tmpl w:val="C9E03D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260F4C"/>
    <w:multiLevelType w:val="multilevel"/>
    <w:tmpl w:val="042C67B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F62835"/>
    <w:multiLevelType w:val="multilevel"/>
    <w:tmpl w:val="6EE8322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A381C72"/>
    <w:multiLevelType w:val="multilevel"/>
    <w:tmpl w:val="0178A4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00C206B"/>
    <w:multiLevelType w:val="multilevel"/>
    <w:tmpl w:val="ADF4D42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9ED5675"/>
    <w:multiLevelType w:val="multilevel"/>
    <w:tmpl w:val="083EB29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92649BE"/>
    <w:multiLevelType w:val="multilevel"/>
    <w:tmpl w:val="7C9876A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0336788">
    <w:abstractNumId w:val="0"/>
  </w:num>
  <w:num w:numId="2" w16cid:durableId="590898248">
    <w:abstractNumId w:val="1"/>
  </w:num>
  <w:num w:numId="3" w16cid:durableId="1210654583">
    <w:abstractNumId w:val="6"/>
  </w:num>
  <w:num w:numId="4" w16cid:durableId="144708944">
    <w:abstractNumId w:val="4"/>
  </w:num>
  <w:num w:numId="5" w16cid:durableId="934367686">
    <w:abstractNumId w:val="5"/>
  </w:num>
  <w:num w:numId="6" w16cid:durableId="1310596842">
    <w:abstractNumId w:val="2"/>
  </w:num>
  <w:num w:numId="7" w16cid:durableId="1168329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671"/>
    <w:rsid w:val="00585E69"/>
    <w:rsid w:val="00F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44FB"/>
  <w15:docId w15:val="{6E1BA809-1EE5-411D-B926-6F6F2632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2023-06-12T13:12:00Z</dcterms:modified>
  <dc:language>pt-BR</dc:language>
</cp:coreProperties>
</file>