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9BF4" w14:textId="45B5D0B9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corpo docente do Programa é constituído, na média dos quatro anos, por 13 professores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permanentes. A proporção do NDP com produção alinhada à proposta do programa é muito boa, de acordo com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para o item 2.1 (pelo menos 85% dos professores estão alinhados).</w:t>
      </w:r>
    </w:p>
    <w:p w14:paraId="26EDFE03" w14:textId="77777777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3A9AE75" w14:textId="4323A789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não depende de professores colaboradores ou visitantes, de acordo com os parâmetros da área (menos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do que </w:t>
      </w:r>
      <w:r>
        <w:rPr>
          <w:rFonts w:ascii="Arial" w:hAnsi="Arial" w:cs="Arial"/>
          <w:sz w:val="20"/>
          <w:szCs w:val="20"/>
          <w:lang w:val="pt-BR"/>
        </w:rPr>
        <w:t>20% das orientações e horas-aula está</w:t>
      </w:r>
      <w:r>
        <w:rPr>
          <w:rFonts w:ascii="Arial" w:hAnsi="Arial" w:cs="Arial"/>
          <w:sz w:val="20"/>
          <w:szCs w:val="20"/>
          <w:lang w:val="pt-BR"/>
        </w:rPr>
        <w:t xml:space="preserve"> sob a responsabilidade dos colaboradores ou visitantes). Todos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docentes permanentes apresentaram no período até três vínculos com Programas de pós-graduação (atendendo à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Portaria 81/2016. A estabilidade do corpo docente permanente permite atribuir o conceito muito bom, segundo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área, para o item 2.2 (pelo menos 75% dos docentes permanentes foram mantidos no Programa ao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longo do quadriênio).</w:t>
      </w:r>
    </w:p>
    <w:p w14:paraId="7159128E" w14:textId="77777777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E9369D0" w14:textId="03EE02AA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boa a proporção de docentes permanentes com projetos de pesquisa com financiamento externo, de acordo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os parâmetros da área (maior ou igual a 55%, mas menor que 70%). É muito boa a proporção dos docentes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permanentes que tiveram pelo menos 60 horas aula no programa durante o quadriênio, segundo os parâmetros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(pelo menos 85%). Em conjunto, estas métricas resultam em conceito muito bom no item 2.3.</w:t>
      </w:r>
    </w:p>
    <w:p w14:paraId="6C46CE20" w14:textId="77777777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783221C" w14:textId="0C850108" w:rsidR="000046B8" w:rsidRP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de docentes permanentes que participaram de eventos científicos da área, com publicação ou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apresentação de palestras, é muito boa pelos parâmetros da área para o item 2.5.</w:t>
      </w:r>
    </w:p>
    <w:sectPr w:rsidR="000046B8" w:rsidRPr="0052497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A13"/>
    <w:multiLevelType w:val="multilevel"/>
    <w:tmpl w:val="7512B62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633933"/>
    <w:multiLevelType w:val="multilevel"/>
    <w:tmpl w:val="494666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AA0E57"/>
    <w:multiLevelType w:val="multilevel"/>
    <w:tmpl w:val="9942E40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1A87ADD"/>
    <w:multiLevelType w:val="multilevel"/>
    <w:tmpl w:val="8A0E9A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00D46FD"/>
    <w:multiLevelType w:val="multilevel"/>
    <w:tmpl w:val="10C6E59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5A33AF8"/>
    <w:multiLevelType w:val="multilevel"/>
    <w:tmpl w:val="0A0EFE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F0826BF"/>
    <w:multiLevelType w:val="multilevel"/>
    <w:tmpl w:val="728E1E2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12737063">
    <w:abstractNumId w:val="3"/>
  </w:num>
  <w:num w:numId="2" w16cid:durableId="1184634160">
    <w:abstractNumId w:val="0"/>
  </w:num>
  <w:num w:numId="3" w16cid:durableId="2056000466">
    <w:abstractNumId w:val="2"/>
  </w:num>
  <w:num w:numId="4" w16cid:durableId="1973947110">
    <w:abstractNumId w:val="1"/>
  </w:num>
  <w:num w:numId="5" w16cid:durableId="1970894863">
    <w:abstractNumId w:val="4"/>
  </w:num>
  <w:num w:numId="6" w16cid:durableId="97920459">
    <w:abstractNumId w:val="6"/>
  </w:num>
  <w:num w:numId="7" w16cid:durableId="1315570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6B8"/>
    <w:rsid w:val="000046B8"/>
    <w:rsid w:val="0052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ABBE"/>
  <w15:docId w15:val="{06A74C65-42DA-495F-AE9E-46A67031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2023-06-12T13:14:00Z</dcterms:modified>
  <dc:language>pt-BR</dc:language>
</cp:coreProperties>
</file>