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2C3A" w14:textId="77777777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bCs/>
          <w:sz w:val="20"/>
          <w:szCs w:val="20"/>
          <w:lang w:val="pt-BR"/>
        </w:rPr>
        <w:t xml:space="preserve">Apreciação: </w:t>
      </w:r>
      <w:r>
        <w:rPr>
          <w:rFonts w:ascii="Arial" w:hAnsi="Arial" w:cs="Arial"/>
          <w:sz w:val="20"/>
          <w:szCs w:val="20"/>
          <w:lang w:val="pt-BR"/>
        </w:rPr>
        <w:t>O programa possui impacto nas dimensões educacional, social, cultural, tecnológica e econômica no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âmbito local, regional e nacional. O programa possui várias ações institucionais que justificam sua inserção social.</w:t>
      </w:r>
    </w:p>
    <w:p w14:paraId="7EF9D47D" w14:textId="77777777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B46AD60" w14:textId="1160596D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Tem participado de eventos institucionais, acadêmicos – com as sociedades científicas da área (SBAP, SBEO, etc)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pesquisas em conjunto com outras instituições – PROADM, REDE IPEA, entre outras. Tem participado também junto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com o Governo de Minas Gerais em ações conjuntas e planos.</w:t>
      </w:r>
    </w:p>
    <w:p w14:paraId="6FFC7FB4" w14:textId="77777777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EBB84CD" w14:textId="3354645E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Destacam-se as atividades referidas pelo programa: 85% das pesquisas do departamento na área de Administração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Pública e 90% delas com participação de estudantes da graduação e pós-graduação; cerca de 32% (1/3) das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pesquisas são de extensão ou com interface em extensão universitária; 42% dos egressos atuam como professores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no ensino público técnico e superior, 60% como docentes em instituições privadas de ensino superior e 40% são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técnicos e servidores públicos; cooperação técnica entre o PPGA e a Secretaria de Estado da Cultura de Minas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Gerais para realizar atividades conjuntas de pesquisa e extensão tecnológica para a elaboração de estudos sobre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cultura e economia criativa no estado, para possibilitar a formação e o desenvolvimento cultural/artístico dos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territórios; atuação na Rede Mineira de Propriedade Intelectual e criação do Instituto de Políticas Públicas e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Desenvolvimento Social – IPPDS; elaboração de guias didáticos para uso em âmbito nacional.</w:t>
      </w:r>
    </w:p>
    <w:p w14:paraId="2ABCF063" w14:textId="77777777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52E5132A" w14:textId="26EB8AFE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No quadriênio (2013-2016), o PPGA contribuiu com o Programa Nacional de Administração Pública – PNAP, por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meio da oferta de 2 (dois) cursos lato sensu em gestão pública e gestão pública municipal, na modalidade.</w:t>
      </w:r>
    </w:p>
    <w:p w14:paraId="6FC823A2" w14:textId="77777777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2E95B08" w14:textId="521406F2" w:rsid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apresenta 30 parcerias listadas e resultados de algumas delas. Existe integração e cooperação com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outros programas e centros de pesquisa, tanto nacionais como estrangeiras. São identificados os produtos da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integração dos docentes do programa com pesquisadores de outras instituições.</w:t>
      </w:r>
    </w:p>
    <w:p w14:paraId="3F7E19FB" w14:textId="5FD3C650" w:rsidR="004E0807" w:rsidRPr="002E03E5" w:rsidRDefault="002E03E5" w:rsidP="002E03E5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O programa mantém website do programa atualizado, com informações sobre docentes, discentes, lista de egressos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por turma, dados sobre o processo seletivo, publicações relevantes realizadas pelos docentes, além do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direcionamento para aceso às dissertações.</w:t>
      </w:r>
    </w:p>
    <w:sectPr w:rsidR="004E0807" w:rsidRPr="002E03E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D1CAC"/>
    <w:multiLevelType w:val="multilevel"/>
    <w:tmpl w:val="54EA031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4070995"/>
    <w:multiLevelType w:val="multilevel"/>
    <w:tmpl w:val="AA7CC5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9E82FF3"/>
    <w:multiLevelType w:val="multilevel"/>
    <w:tmpl w:val="53B0F58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BA30D4C"/>
    <w:multiLevelType w:val="multilevel"/>
    <w:tmpl w:val="B6067C1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0B528D7"/>
    <w:multiLevelType w:val="multilevel"/>
    <w:tmpl w:val="EA36C5C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5D833F2"/>
    <w:multiLevelType w:val="multilevel"/>
    <w:tmpl w:val="32EE65C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8D83DD1"/>
    <w:multiLevelType w:val="multilevel"/>
    <w:tmpl w:val="5E9AC17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95072863">
    <w:abstractNumId w:val="6"/>
  </w:num>
  <w:num w:numId="2" w16cid:durableId="1250504906">
    <w:abstractNumId w:val="4"/>
  </w:num>
  <w:num w:numId="3" w16cid:durableId="1304429252">
    <w:abstractNumId w:val="3"/>
  </w:num>
  <w:num w:numId="4" w16cid:durableId="1268734869">
    <w:abstractNumId w:val="0"/>
  </w:num>
  <w:num w:numId="5" w16cid:durableId="1030374799">
    <w:abstractNumId w:val="5"/>
  </w:num>
  <w:num w:numId="6" w16cid:durableId="716589573">
    <w:abstractNumId w:val="2"/>
  </w:num>
  <w:num w:numId="7" w16cid:durableId="55346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807"/>
    <w:rsid w:val="002E03E5"/>
    <w:rsid w:val="004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E3589"/>
  <w15:docId w15:val="{ACE9153C-5674-4972-B3EA-57C16ED69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2023-06-12T13:17:00Z</dcterms:modified>
  <dc:language>pt-BR</dc:language>
</cp:coreProperties>
</file>