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735A" w14:textId="449A6886" w:rsidR="00052046" w:rsidRDefault="00052046" w:rsidP="000520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Programa iniciou atividades em 2013 e está estruturado em 1 área de concentração - Análise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Políticas Públicas - e 2 linhas de pesquisa – Sociedade, Instituições e Políticas Públicas e Estado; Administração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Pública e Gestão Social. A descrição de uma das linhas de pesquisa foi alterada em relação à proposta aprovada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para melhor expressar o seu escopo. As linhas de pesquisa refletem temas atuais e são coerentes e consistentes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com a área de concentração, expressando a especificidade da produção do conhecimento produzido no âmbito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Programa. São 7 projetos de pesquisa, sendo 3 da primeira linha de pesquisa e 4 da segunda. Os projetos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pesquisa abordam temas que refletem a especificidade de cada linha de pesquisa. Há alinhamento entre os projetos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 os conteúdos das linhas de pesquisa refletindo o perfil do egresso desejado, bem como equilíbrio dos projetos por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linha de pesquisa. A estrutura curricular abriga um conjunto de disciplinas que evidenciam o estado da arte dos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temas propostos, todavia há carência de maior nível de diversificação. O número de disciplinas é pequeno em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relação ao quadro de docentes permanentes, além de ter parte delas com bibliografia não atualizadas e ainda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ancoradas apenas em livros didáticos. Verifica-se também que existe apenas uma disciplina com conteúdo ligado 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metodologia de pesquisa. O Programa não apresenta uma proposta efetiva de planejamento com vistas ao seu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desenvolvimento e, especificamente, no que diz respeito ao processo de internacionalização. De fato, o que é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relacionado no item de planejamento futuro da proposta do programa são metas almejadas, sem muita definição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estratégias de ação para alcançá-las. O Programa não apresenta um plano claro de atualização e renovação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corpo docente permanente, registrando apenas como “desafio” a ação de “ampliar o corpo permanente com novos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credenciamentos”. O Programa não registra um planejamento de desenvolvimento institucional visando consolidação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em nível nacional e internacional, descrevendo apenas alguns convênios interinstitucionais e ações já realizadas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nesse sentido. A infraestrutura para pesquisa e ensino é adequada e compatível com o tamanho e especificidade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Programa de formação discente. O Programa declara a existência de salas individuais para os docentes, 2 salas para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exclusivas para alunos de pós-graduação (mais 34 salas de aula de uso geral) e 11 salas para grupos de pesquisa.</w:t>
      </w:r>
    </w:p>
    <w:p w14:paraId="34EF1439" w14:textId="1E70E929" w:rsidR="007B135E" w:rsidRPr="00052046" w:rsidRDefault="00052046" w:rsidP="00052046">
      <w:r>
        <w:rPr>
          <w:rFonts w:ascii="Arial" w:hAnsi="Arial" w:cs="Arial"/>
          <w:sz w:val="20"/>
          <w:szCs w:val="20"/>
          <w:lang w:val="pt-BR"/>
        </w:rPr>
        <w:t>Existe acesso declarado para base de periódicos e de dados.</w:t>
      </w:r>
    </w:p>
    <w:sectPr w:rsidR="007B135E" w:rsidRPr="0005204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7935"/>
    <w:multiLevelType w:val="multilevel"/>
    <w:tmpl w:val="4DF648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CA6E72"/>
    <w:multiLevelType w:val="multilevel"/>
    <w:tmpl w:val="9C6C8A8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5F20D6"/>
    <w:multiLevelType w:val="multilevel"/>
    <w:tmpl w:val="E96C533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D9E5119"/>
    <w:multiLevelType w:val="multilevel"/>
    <w:tmpl w:val="FE42F20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6D65C8"/>
    <w:multiLevelType w:val="multilevel"/>
    <w:tmpl w:val="F7C007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F112E5E"/>
    <w:multiLevelType w:val="multilevel"/>
    <w:tmpl w:val="F4D6750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81173F1"/>
    <w:multiLevelType w:val="multilevel"/>
    <w:tmpl w:val="5DF6403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32317299">
    <w:abstractNumId w:val="6"/>
  </w:num>
  <w:num w:numId="2" w16cid:durableId="1401251669">
    <w:abstractNumId w:val="2"/>
  </w:num>
  <w:num w:numId="3" w16cid:durableId="1415473054">
    <w:abstractNumId w:val="5"/>
  </w:num>
  <w:num w:numId="4" w16cid:durableId="1259481755">
    <w:abstractNumId w:val="1"/>
  </w:num>
  <w:num w:numId="5" w16cid:durableId="1541480470">
    <w:abstractNumId w:val="4"/>
  </w:num>
  <w:num w:numId="6" w16cid:durableId="553542169">
    <w:abstractNumId w:val="3"/>
  </w:num>
  <w:num w:numId="7" w16cid:durableId="12138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35E"/>
    <w:rsid w:val="00052046"/>
    <w:rsid w:val="007B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7710B"/>
  <w15:docId w15:val="{73D622E2-81C2-431F-A57D-18ABF1B1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390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2023-06-12T14:15:00Z</dcterms:modified>
  <dc:language>pt-BR</dc:language>
</cp:coreProperties>
</file>