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40CA" w14:textId="46D7BE02" w:rsidR="00843F36" w:rsidRDefault="00000000">
      <w:r>
        <w:t>A produção bibliográfica média por docente permanente atingiu um nível correspondente ao conceito</w:t>
      </w:r>
      <w:r w:rsidR="003C7F0B">
        <w:t xml:space="preserve"> </w:t>
      </w:r>
      <w:r>
        <w:t>muito bom pelos parâmetros da Área (acima de 200 pontos por docente permanente no quadriênio). A produção</w:t>
      </w:r>
      <w:r w:rsidR="003C7F0B">
        <w:t xml:space="preserve"> </w:t>
      </w:r>
      <w:r>
        <w:t>qualificada dos docentes permanentes no quadriênio atingiu um conceito regular pelos parâmetros da Área (entre 40</w:t>
      </w:r>
      <w:r w:rsidR="003C7F0B">
        <w:t xml:space="preserve"> </w:t>
      </w:r>
      <w:r>
        <w:t>e 55 pontos por produto). Dessa forma, o item 4.1 foi avaliado como bom.</w:t>
      </w:r>
    </w:p>
    <w:p w14:paraId="183C6E36" w14:textId="77777777" w:rsidR="00843F36" w:rsidRDefault="00000000">
      <w:r>
        <w:t>A produção tecnológica média por DP foi avaliada como regular pelos parâmetros da Área (entre 1 e 2 pontos).</w:t>
      </w:r>
    </w:p>
    <w:p w14:paraId="3F121FC3" w14:textId="24FEC531" w:rsidR="00843F36" w:rsidRDefault="00000000">
      <w:r>
        <w:t>A distribuição da produção científica e tecnológica em relação ao corpo docente permanente do programa foi</w:t>
      </w:r>
      <w:r w:rsidR="003C7F0B">
        <w:t xml:space="preserve"> </w:t>
      </w:r>
      <w:r>
        <w:t>avaliada como muito boa conforme os parâmetros da área (acima de 50% atingem a mediana da Área).</w:t>
      </w:r>
    </w:p>
    <w:p w14:paraId="3D363D08" w14:textId="0BA028C4" w:rsidR="00843F36" w:rsidRDefault="00000000">
      <w:r>
        <w:t>A articulação é muito boa entre a produção bibliográfica e os produtos tecnológicos qualificados do PPG com a</w:t>
      </w:r>
      <w:r w:rsidR="003C7F0B">
        <w:t xml:space="preserve"> </w:t>
      </w:r>
      <w:r>
        <w:t>proposta de formação discente no PPG.</w:t>
      </w:r>
    </w:p>
    <w:p w14:paraId="5A05ACB3" w14:textId="52B1B204" w:rsidR="00843F36" w:rsidRDefault="00000000">
      <w:r>
        <w:t>Observa-se que no cômputo da produção dos docentes permanentes, não foram considerados dois docentes do</w:t>
      </w:r>
      <w:r w:rsidR="003C7F0B">
        <w:t xml:space="preserve"> </w:t>
      </w:r>
      <w:r>
        <w:t>Programa, uma vez que estes não atendem aos critérios de enquadramento para essa categoria, conforme a Portaria</w:t>
      </w:r>
      <w:r w:rsidR="003C7F0B">
        <w:t xml:space="preserve"> </w:t>
      </w:r>
      <w:r>
        <w:t>CAPES No. 81/2016).</w:t>
      </w:r>
    </w:p>
    <w:sectPr w:rsidR="00843F3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DE0"/>
    <w:multiLevelType w:val="multilevel"/>
    <w:tmpl w:val="A7CAA0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166AC0"/>
    <w:multiLevelType w:val="multilevel"/>
    <w:tmpl w:val="45F8A60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F914D8"/>
    <w:multiLevelType w:val="multilevel"/>
    <w:tmpl w:val="C0E8281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2313693"/>
    <w:multiLevelType w:val="multilevel"/>
    <w:tmpl w:val="B22CF6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297777C"/>
    <w:multiLevelType w:val="multilevel"/>
    <w:tmpl w:val="2CB2192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716D04"/>
    <w:multiLevelType w:val="multilevel"/>
    <w:tmpl w:val="088AD64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0E66F91"/>
    <w:multiLevelType w:val="multilevel"/>
    <w:tmpl w:val="9DA8BE0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46762125">
    <w:abstractNumId w:val="1"/>
  </w:num>
  <w:num w:numId="2" w16cid:durableId="1141776164">
    <w:abstractNumId w:val="6"/>
  </w:num>
  <w:num w:numId="3" w16cid:durableId="1204631831">
    <w:abstractNumId w:val="3"/>
  </w:num>
  <w:num w:numId="4" w16cid:durableId="763186917">
    <w:abstractNumId w:val="5"/>
  </w:num>
  <w:num w:numId="5" w16cid:durableId="2048068373">
    <w:abstractNumId w:val="4"/>
  </w:num>
  <w:num w:numId="6" w16cid:durableId="1897933151">
    <w:abstractNumId w:val="2"/>
  </w:num>
  <w:num w:numId="7" w16cid:durableId="138047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F36"/>
    <w:rsid w:val="003C7F0B"/>
    <w:rsid w:val="004961E2"/>
    <w:rsid w:val="0084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A496"/>
  <w15:docId w15:val="{765F1DAF-2802-428F-AB7E-EFD98D9B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2023-06-15T12:57:00Z</dcterms:modified>
  <dc:language>pt-BR</dc:language>
</cp:coreProperties>
</file>