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3845" w14:textId="480FAF3D" w:rsid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promove a integração do conhecimento acadêmico com as comunidades empresarial, governamental e do Terceiro Setor, por meio de pesquisas, consultorias e atividades de divulgação que são organizadas nos Centros de estudo da FGV. Os impactos educacionais e sociais são notórios, os discentes têm alcançado cargos gerenciais mais elevados na área específica de formação, os trabalhos de conclusão têm mostrado elevado índice de reflexões a respeito de aplicações práticas no contexto de gestão e políticas públicas. No campo educacional o PPG contribui para a formação técnica na sua área de especialidade por meio dos temas aplicados e captados junto às organizações públicas para o trabalho de conclusão. No social contribui para a formação de recursos humanos qualificados para a Administração Pública. No campo cultural os trabalhos de pesquisa e de conclusão contribuem para o estudo das políticas culturais. No tecnológico/econômico, os docentes do PPG publicam artigos em imprensa e prestam consultoria a órgãos governamentais visando desenvolvimento econômico do país. Participam, ainda, do debate público, por meio de entrevistas e comentários para jornal, rádio e TV. O PPG forma mestres há mais de 10 anos, constituindo-se importante formador de quadros para o setor público estatal dos três poderes (Executivo, Legislativo, Judiciário), para as três esferas (federal, estadual, municipal) e para setores como educação, saúde, dentre outros. Têm atuação junto ao setor público não estatal e a consultorias que prestam serviços para a área pública. Dessa forma, o item 5.1 foi avaliado como muito bom.</w:t>
      </w:r>
    </w:p>
    <w:p w14:paraId="22DC18EA" w14:textId="77777777" w:rsid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16DFB3A" w14:textId="73C402DA" w:rsid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O PPG tem participação em programas sistemáticos de cooperação e intercâmbio com as seguintes organizações: GPPN Global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Public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Policy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Network, que reúne sete escolas de políticas públicas: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School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of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International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and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Public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Affairs (SIPA) – Columbia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University</w:t>
      </w:r>
      <w:proofErr w:type="spellEnd"/>
      <w:r>
        <w:rPr>
          <w:rFonts w:ascii="Arial" w:hAnsi="Arial" w:cs="Arial"/>
          <w:sz w:val="20"/>
          <w:szCs w:val="20"/>
          <w:lang w:val="pt-BR"/>
        </w:rPr>
        <w:t>, Nova York; Institut d’</w:t>
      </w:r>
      <w:proofErr w:type="spellStart"/>
      <w:r>
        <w:rPr>
          <w:rFonts w:ascii="Arial" w:hAnsi="Arial" w:cs="Arial"/>
          <w:sz w:val="20"/>
          <w:szCs w:val="20"/>
          <w:lang w:val="pt-BR"/>
        </w:rPr>
        <w:t>Études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Politiques de Paris (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Sciences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Po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), Paris; London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School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of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Economics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and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Political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Sciences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(LSE), Londres; Lee Kuan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Yew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School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of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Public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Policy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National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University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of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Singapore, Cingapura;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Hertie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School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of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Governance, Berlim;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Graduate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School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of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Public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Policy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pt-BR"/>
        </w:rPr>
        <w:t>GraSPP</w:t>
      </w:r>
      <w:proofErr w:type="spellEnd"/>
      <w:r>
        <w:rPr>
          <w:rFonts w:ascii="Arial" w:hAnsi="Arial" w:cs="Arial"/>
          <w:sz w:val="20"/>
          <w:szCs w:val="20"/>
          <w:lang w:val="pt-BR"/>
        </w:rPr>
        <w:t>) –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University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of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Tokyo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, Tóquio; e EAESP-FGV. Possui também acordo de dupla titulação com o Master in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Public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Administration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da Columbia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University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. O PPG passa por acreditação específica para programas da área de Administração Pública, realizada pela IASIA –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International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Association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of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Schools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and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Institutes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of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Administration</w:t>
      </w:r>
      <w:proofErr w:type="spellEnd"/>
      <w:r>
        <w:rPr>
          <w:rFonts w:ascii="Arial" w:hAnsi="Arial" w:cs="Arial"/>
          <w:sz w:val="20"/>
          <w:szCs w:val="20"/>
          <w:lang w:val="pt-BR"/>
        </w:rPr>
        <w:t>. Dessa forma, o item 5.2 foi avaliado como muito bom.</w:t>
      </w:r>
    </w:p>
    <w:p w14:paraId="59C8538F" w14:textId="77777777" w:rsid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8770EB9" w14:textId="3AD564F4" w:rsid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tem Integração e cooperação com outros Cursos/Programas com vistas ao desenvolvimento da pós-graduação com o Mestrado Profissional em Direito, da Direito-São Paulo, escola da Fundação Getúlio Vargas e com o Mestrado Profissional em Administração Pública FGV-EBAPE, no Rio de Janeiro. Os alunos do PPG podem também se matricular em disciplinas do stricto sensu oferecidas pela FEA-USP e FFLCH-USP, por meio do acordo entre FGV-EAESP e USP. Há parceria com a UFRN para aprimoramento de currículos. Há convênios com universidades nacionais e internacionais para intercâmbio de alunos para cursar disciplinas. Não fica clara, no relatório, a cooperação com a educação básica.</w:t>
      </w:r>
    </w:p>
    <w:p w14:paraId="2ECD3756" w14:textId="4CC14492" w:rsid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Docentes do PPG têm presença na mídia, por meio da participação em debates, publicação de artigos em jornais e revistas de grande circulação. Participam de redes internacionais de pesquisa e difusão, como o CLAD Centro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Latinoamericano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de Administración para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el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Desarrollo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, IPSA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International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Political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Science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Association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, LASA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Latin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American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Studies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Association</w:t>
      </w:r>
      <w:proofErr w:type="spellEnd"/>
      <w:r>
        <w:rPr>
          <w:rFonts w:ascii="Arial" w:hAnsi="Arial" w:cs="Arial"/>
          <w:sz w:val="20"/>
          <w:szCs w:val="20"/>
          <w:lang w:val="pt-BR"/>
        </w:rPr>
        <w:t>. Dessa forma, o item 5.3 foi avaliado como muito bom.</w:t>
      </w:r>
    </w:p>
    <w:p w14:paraId="4BCDD142" w14:textId="77777777" w:rsid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4934844" w14:textId="039A16E8" w:rsidR="00A21632" w:rsidRP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Fonts w:ascii="Arial" w:hAnsi="Arial" w:cs="Arial"/>
          <w:sz w:val="20"/>
          <w:szCs w:val="20"/>
          <w:lang w:val="pt-BR"/>
        </w:rPr>
        <w:t>O Programa possui site atualizado, com acesso aos Trabalhos de conclusão, dados do PPG tais como critérios de seleção de alunos, financiamentos recebidos, regulamento do PPG e acesso à produção docente. Dessa forma, o item 5.4 foi avaliado como muito bom.</w:t>
      </w:r>
    </w:p>
    <w:sectPr w:rsidR="00A21632" w:rsidRPr="00E63C82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F7CDC"/>
    <w:multiLevelType w:val="multilevel"/>
    <w:tmpl w:val="A7F2839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F822D44"/>
    <w:multiLevelType w:val="multilevel"/>
    <w:tmpl w:val="7520D7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480AE2"/>
    <w:multiLevelType w:val="multilevel"/>
    <w:tmpl w:val="7FEE3D8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FAA025B"/>
    <w:multiLevelType w:val="multilevel"/>
    <w:tmpl w:val="F8E4E82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F8A71B8"/>
    <w:multiLevelType w:val="multilevel"/>
    <w:tmpl w:val="02B4FB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0D7FBE"/>
    <w:multiLevelType w:val="multilevel"/>
    <w:tmpl w:val="FE2469B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420F6D"/>
    <w:multiLevelType w:val="multilevel"/>
    <w:tmpl w:val="DF9E672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71840229">
    <w:abstractNumId w:val="1"/>
  </w:num>
  <w:num w:numId="2" w16cid:durableId="143858853">
    <w:abstractNumId w:val="2"/>
  </w:num>
  <w:num w:numId="3" w16cid:durableId="1060636029">
    <w:abstractNumId w:val="0"/>
  </w:num>
  <w:num w:numId="4" w16cid:durableId="520825121">
    <w:abstractNumId w:val="6"/>
  </w:num>
  <w:num w:numId="5" w16cid:durableId="520432058">
    <w:abstractNumId w:val="3"/>
  </w:num>
  <w:num w:numId="6" w16cid:durableId="274950722">
    <w:abstractNumId w:val="5"/>
  </w:num>
  <w:num w:numId="7" w16cid:durableId="1688480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632"/>
    <w:rsid w:val="00325583"/>
    <w:rsid w:val="00A21632"/>
    <w:rsid w:val="00E6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72C"/>
  <w15:docId w15:val="{6B33E66B-62B3-4355-8ABD-F853AE57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610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2023-06-15T12:57:00Z</dcterms:modified>
  <dc:language>pt-BR</dc:language>
</cp:coreProperties>
</file>