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5417" w14:textId="3CF1538E" w:rsidR="00835B9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suas atividades em 2012 e está estruturado em uma área de concentração - Administração Pública - e duas linhas de pesquisa – Políticas Públicas e Governança e Administração Pública. A estrutura curricular abriga um conjunto de disciplinas que evidenciam o estado da arte dos temas propostos e as referências bibliográficas estão atualizadas e orientadas para o campo profissional, com domínio da metodologia pertinente e aplicação orientada para o campo profissional. As linhas de pesquisa são atuais, coerentes e consistentes, expressando a especificidade da produção do conhecimento científico e/ou aplicado produzido no âmbito do programa. São 100 projetos de pesquisa, distribuídos de maneira equilibrada entre as linhas de pesquisa. Os projetos de pesquisa abordam temas que refletem a especificidade de cada linha de atuação e a maior parte dos docentes coordenou projetos com financiamentos ou apoio de entidades externas à instituição, tais como agências de fomento à pesquisa ou empresas e organizações de nível local, regional, nacional ou internacional.</w:t>
      </w:r>
    </w:p>
    <w:p w14:paraId="591A47FC" w14:textId="48DB8A2B" w:rsid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programa mantém boa conexão com o mercado. A infraestrutura para ensino, pesquisa e administração é adequada e compatível com o tamanho e especificidade do programa de formação discente. Existe acesso amplo e fácil para base de periódicos e dados, tais como </w:t>
      </w:r>
      <w:proofErr w:type="spellStart"/>
      <w:r>
        <w:rPr>
          <w:rFonts w:ascii="Arial" w:hAnsi="Arial" w:cs="Arial"/>
          <w:lang w:val="pt-BR"/>
        </w:rPr>
        <w:t>Proquest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Dissertations</w:t>
      </w:r>
      <w:proofErr w:type="spellEnd"/>
      <w:r>
        <w:rPr>
          <w:rFonts w:ascii="Arial" w:hAnsi="Arial" w:cs="Arial"/>
          <w:lang w:val="pt-BR"/>
        </w:rPr>
        <w:t xml:space="preserve"> &amp; </w:t>
      </w:r>
      <w:proofErr w:type="spellStart"/>
      <w:r>
        <w:rPr>
          <w:rFonts w:ascii="Arial" w:hAnsi="Arial" w:cs="Arial"/>
          <w:lang w:val="pt-BR"/>
        </w:rPr>
        <w:t>Theses</w:t>
      </w:r>
      <w:proofErr w:type="spellEnd"/>
      <w:r>
        <w:rPr>
          <w:rFonts w:ascii="Arial" w:hAnsi="Arial" w:cs="Arial"/>
          <w:lang w:val="pt-BR"/>
        </w:rPr>
        <w:t xml:space="preserve">, Thomson Reuters, Bloomberg, Economática, </w:t>
      </w:r>
      <w:proofErr w:type="spellStart"/>
      <w:r>
        <w:rPr>
          <w:rFonts w:ascii="Arial" w:hAnsi="Arial" w:cs="Arial"/>
          <w:lang w:val="pt-BR"/>
        </w:rPr>
        <w:t>Compustat</w:t>
      </w:r>
      <w:proofErr w:type="spellEnd"/>
      <w:r>
        <w:rPr>
          <w:rFonts w:ascii="Arial" w:hAnsi="Arial" w:cs="Arial"/>
          <w:lang w:val="pt-BR"/>
        </w:rPr>
        <w:t xml:space="preserve"> Global, </w:t>
      </w:r>
      <w:proofErr w:type="spellStart"/>
      <w:r>
        <w:rPr>
          <w:rFonts w:ascii="Arial" w:hAnsi="Arial" w:cs="Arial"/>
          <w:lang w:val="pt-BR"/>
        </w:rPr>
        <w:t>Compustat</w:t>
      </w:r>
      <w:proofErr w:type="spellEnd"/>
      <w:r>
        <w:rPr>
          <w:rFonts w:ascii="Arial" w:hAnsi="Arial" w:cs="Arial"/>
          <w:lang w:val="pt-BR"/>
        </w:rPr>
        <w:t xml:space="preserve"> North </w:t>
      </w:r>
      <w:proofErr w:type="spellStart"/>
      <w:r>
        <w:rPr>
          <w:rFonts w:ascii="Arial" w:hAnsi="Arial" w:cs="Arial"/>
          <w:lang w:val="pt-BR"/>
        </w:rPr>
        <w:t>America</w:t>
      </w:r>
      <w:proofErr w:type="spellEnd"/>
      <w:r>
        <w:rPr>
          <w:rFonts w:ascii="Arial" w:hAnsi="Arial" w:cs="Arial"/>
          <w:lang w:val="pt-BR"/>
        </w:rPr>
        <w:t xml:space="preserve">, Harvard Business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 (cases).</w:t>
      </w:r>
    </w:p>
    <w:p w14:paraId="66E58507" w14:textId="6B8DED95" w:rsidR="00340B2D" w:rsidRDefault="00340B2D" w:rsidP="006D4020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o planejamento com vistas ao seu desenvolvimento, definição clara de mecanismos para ampliar a produção e divulgação do conhecimento na forma de artigos e produções técnicas e tecnológicas, inserção regional e nacional, resultados de convênios de cooperação tecnológica ou científica.</w:t>
      </w:r>
    </w:p>
    <w:sectPr w:rsidR="00340B2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8D4"/>
    <w:multiLevelType w:val="multilevel"/>
    <w:tmpl w:val="0D5A775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1472F6"/>
    <w:multiLevelType w:val="multilevel"/>
    <w:tmpl w:val="34EA6B7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B6576A"/>
    <w:multiLevelType w:val="multilevel"/>
    <w:tmpl w:val="7F649D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975009"/>
    <w:multiLevelType w:val="multilevel"/>
    <w:tmpl w:val="397CD0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840E0F"/>
    <w:multiLevelType w:val="multilevel"/>
    <w:tmpl w:val="1CC864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671690C"/>
    <w:multiLevelType w:val="multilevel"/>
    <w:tmpl w:val="7EE8327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886D6E"/>
    <w:multiLevelType w:val="multilevel"/>
    <w:tmpl w:val="C902F4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8139398">
    <w:abstractNumId w:val="0"/>
  </w:num>
  <w:num w:numId="2" w16cid:durableId="265041328">
    <w:abstractNumId w:val="5"/>
  </w:num>
  <w:num w:numId="3" w16cid:durableId="638341565">
    <w:abstractNumId w:val="6"/>
  </w:num>
  <w:num w:numId="4" w16cid:durableId="1924796556">
    <w:abstractNumId w:val="2"/>
  </w:num>
  <w:num w:numId="5" w16cid:durableId="407583415">
    <w:abstractNumId w:val="3"/>
  </w:num>
  <w:num w:numId="6" w16cid:durableId="1439717860">
    <w:abstractNumId w:val="1"/>
  </w:num>
  <w:num w:numId="7" w16cid:durableId="1661620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9D"/>
    <w:rsid w:val="00340B2D"/>
    <w:rsid w:val="006D4020"/>
    <w:rsid w:val="0083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1F10"/>
  <w15:docId w15:val="{E13D0B26-FE47-4B68-ABBF-83EE2CDB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2023-06-15T12:59:00Z</dcterms:modified>
  <dc:language>pt-BR</dc:language>
</cp:coreProperties>
</file>