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A3CCF" w14:textId="6BA7741B" w:rsidR="00297FF2" w:rsidRPr="00C50D50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lang w:val="pt-BR"/>
        </w:rPr>
        <w:t>O corpo docente do PPG é constituído, na média dos quatro anos, por 20 professores permanentes e 4 colaboradores. No quadriênio, os docentes permanentes que participam de outros PPGs estão dentro do limite definido pela portaria Capes nº 81/2016 (até 3 programas). Ademais, todos os DPs possuem vínculo de 40hr com a IES, atendendo à portaria Capes nº 81/2016. Todos os docentes permanentes possuem título de doutor. O perfil do corpo docente em termos de experiência acadêmica e profissional possui alinhamento muito bom com a proposta de formação discente, de acordo com os parâmetros da área (acima de 85%). Assim, o perfil do corpo docente, considerando experiência como pesquisador e profissional, titulação e sua adequação à Proposta do Programa (item 2.1), resultou no conceito muito bom.</w:t>
      </w:r>
    </w:p>
    <w:p w14:paraId="1CBE4DF2" w14:textId="77777777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99F58D8" w14:textId="2E0D6616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que se refere ao mínimo de 60 horas-aula no PPG por docente permanente, no quadriênio, o programa atingiu conceito muito bom para os parâmetros da área (acima de 85%). A estabilidade do corpo docente permanente alcançou o conceito muito bom para os parâmetros da área (acima de 75%). No entanto, observa-se dependência de colaboradores na condução das atividades de docência e orientação do PPG, superando os limites da área (até 20% das atividades de docência e orientação sob a responsabilidade de docentes colaboradores). Por esse motivo, apesar de o PPG ter alcançado, na média desses indicadores (% dos DP ministrando o mínimo de 60 horas-aula no PPG e a estabilidade do DP), o conceito muito bom, no que diz respeito à adequação da dimensão, composição e dedicação dos docentes permanentes para o desenvolvimento das atividades de pesquisa e formação do Programa (item 2.2), o PPG teve uma redução na nota desse item, culminando no conceito bom.</w:t>
      </w:r>
    </w:p>
    <w:p w14:paraId="156ABEFD" w14:textId="77777777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13CF2AB" w14:textId="2747E154" w:rsidR="00297FF2" w:rsidRDefault="00297FF2" w:rsidP="00297FF2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proporção de docentes permanentes que lideraram projetos de pesquisa, desenvolvimento e inovação em organizações públicas ou privadas </w:t>
      </w:r>
      <w:r w:rsidRPr="00297FF2">
        <w:rPr>
          <w:rFonts w:ascii="Arial" w:hAnsi="Arial" w:cs="Arial"/>
          <w:lang w:val="pt-BR"/>
        </w:rPr>
        <w:t>com financiamento externo</w:t>
      </w:r>
      <w:r>
        <w:rPr>
          <w:rFonts w:ascii="Arial" w:hAnsi="Arial" w:cs="Arial"/>
          <w:lang w:val="pt-BR"/>
        </w:rPr>
        <w:t xml:space="preserve"> à IES alcançou o conceito muito bom, conforme os parâmetros da área (acima de 50%). O coeficiente de variação das distribuições anuais das orientações entre os DP atingiu o conceito muito bom, segundo os parâmetros da área (abaixo de 65%). Dessa forma, a distribuição das atividades de pesquisa, projetos de desenvolvimento e inovação e de formação entre os docentes do Programa (item 2.3) culminou no conceito muito bom</w:t>
      </w:r>
      <w:r w:rsidR="00C50D50">
        <w:rPr>
          <w:rFonts w:ascii="Arial" w:hAnsi="Arial" w:cs="Arial"/>
          <w:lang w:val="pt-BR"/>
        </w:rPr>
        <w:t>.</w:t>
      </w:r>
    </w:p>
    <w:sectPr w:rsidR="00297FF2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24E"/>
    <w:multiLevelType w:val="multilevel"/>
    <w:tmpl w:val="F8E296E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3B0C8E"/>
    <w:multiLevelType w:val="multilevel"/>
    <w:tmpl w:val="AA9826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59356E"/>
    <w:multiLevelType w:val="multilevel"/>
    <w:tmpl w:val="F95AA80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B9143A7"/>
    <w:multiLevelType w:val="multilevel"/>
    <w:tmpl w:val="27FEC7F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C4216B"/>
    <w:multiLevelType w:val="multilevel"/>
    <w:tmpl w:val="701C5B8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D5E37B1"/>
    <w:multiLevelType w:val="multilevel"/>
    <w:tmpl w:val="6102F68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E0786C"/>
    <w:multiLevelType w:val="multilevel"/>
    <w:tmpl w:val="1CAEA8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79657458">
    <w:abstractNumId w:val="6"/>
  </w:num>
  <w:num w:numId="2" w16cid:durableId="623972737">
    <w:abstractNumId w:val="0"/>
  </w:num>
  <w:num w:numId="3" w16cid:durableId="1135295450">
    <w:abstractNumId w:val="2"/>
  </w:num>
  <w:num w:numId="4" w16cid:durableId="785193382">
    <w:abstractNumId w:val="3"/>
  </w:num>
  <w:num w:numId="5" w16cid:durableId="670109851">
    <w:abstractNumId w:val="4"/>
  </w:num>
  <w:num w:numId="6" w16cid:durableId="877469659">
    <w:abstractNumId w:val="5"/>
  </w:num>
  <w:num w:numId="7" w16cid:durableId="1622805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A2E"/>
    <w:rsid w:val="00297FF2"/>
    <w:rsid w:val="00B05A2E"/>
    <w:rsid w:val="00C5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37A5A"/>
  <w15:docId w15:val="{8D311A53-9883-40B6-8563-2F7ABCE2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2023-06-15T13:00:00Z</dcterms:modified>
  <dc:language>pt-BR</dc:language>
</cp:coreProperties>
</file>