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0DED" w14:textId="4B152A19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boa articulação entre as linhas de pesquisa e as disciplinas. A infraestrutura para ensino, pesquisa e administração é adequada e compatível com o tamanho e especificidade do programa de formação discente.</w:t>
      </w:r>
    </w:p>
    <w:p w14:paraId="2D1CF5F9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E5A638C" w14:textId="3E80C275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quanto à titulação, formação, estabilidade e dedicação. No entanto, observou-se dependência de colaboradores nas orientações do PPG, em 2015. A produção bibliográfica total, bem como a distribuição da produção qualificada média por docente permanente do programa, é muito boa, e a produção técnica e tecnológica boa. Por fim, é muito boa a experiência dos docentes na condução de projetos de pesquisa com financiamento externo à IES.</w:t>
      </w:r>
    </w:p>
    <w:p w14:paraId="5655A0E9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5C0818" w14:textId="22FE6FE2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 ao corpo discente, observa-se uma proporção muito boa de alunos que concluíram o curso e com média de alunos por DP dentro dos parâmetros desejados da área. A qualidade dos trabalhos de conclusão de curso dos discentes do Programa foi avaliada como boa, assim como foi a aplicabilidade dos trabalhos produzidos.</w:t>
      </w:r>
    </w:p>
    <w:p w14:paraId="07DB8CFA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359F19" w14:textId="616A5FB3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 local, bem como a integração e cooperação com outros programas, centros de pesquisa acadêmica, associações profissionais, e principalmente com organizações beneficiárias da atuação do programa, seja para a disponibilização de mestres profissionais, seja para a realização de trabalhos de inovação.</w:t>
      </w:r>
    </w:p>
    <w:p w14:paraId="454DC0B6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9040918" w14:textId="19EF5E3A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Portanto, recomenda-se a concessão da nota 4, uma vez que, para concessão de nota 5, o programa deverá obter “Muito Bom” em pelo menos quatro dos cinco quesitos existentes, entre os quais teriam que figurar, necessariamente, os quesitos 3 e 4.</w:t>
      </w:r>
    </w:p>
    <w:p w14:paraId="5A18205C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A2D8E2" w14:textId="6A9E5BC3" w:rsidR="00022110" w:rsidRPr="00617540" w:rsidRDefault="00617540" w:rsidP="00617540">
      <w:r>
        <w:rPr>
          <w:rFonts w:ascii="Arial" w:hAnsi="Arial" w:cs="Arial"/>
          <w:lang w:val="pt-BR"/>
        </w:rPr>
        <w:t>Mantidos os conceitos dos itens 3.2. e 3.3, sugere-se a manutenção da nota 4.</w:t>
      </w:r>
    </w:p>
    <w:sectPr w:rsidR="00022110" w:rsidRPr="0061754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D5D"/>
    <w:multiLevelType w:val="multilevel"/>
    <w:tmpl w:val="B3C8A3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06F4D"/>
    <w:multiLevelType w:val="multilevel"/>
    <w:tmpl w:val="32F40E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124C5"/>
    <w:multiLevelType w:val="multilevel"/>
    <w:tmpl w:val="8758CA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A1238F"/>
    <w:multiLevelType w:val="multilevel"/>
    <w:tmpl w:val="AD504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0F4AE2"/>
    <w:multiLevelType w:val="multilevel"/>
    <w:tmpl w:val="2924C5C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D25C07"/>
    <w:multiLevelType w:val="multilevel"/>
    <w:tmpl w:val="A16AE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C058EA"/>
    <w:multiLevelType w:val="multilevel"/>
    <w:tmpl w:val="9830FD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1444235">
    <w:abstractNumId w:val="5"/>
  </w:num>
  <w:num w:numId="2" w16cid:durableId="1274751119">
    <w:abstractNumId w:val="6"/>
  </w:num>
  <w:num w:numId="3" w16cid:durableId="1216116327">
    <w:abstractNumId w:val="4"/>
  </w:num>
  <w:num w:numId="4" w16cid:durableId="1780248536">
    <w:abstractNumId w:val="0"/>
  </w:num>
  <w:num w:numId="5" w16cid:durableId="1611353992">
    <w:abstractNumId w:val="1"/>
  </w:num>
  <w:num w:numId="6" w16cid:durableId="441388359">
    <w:abstractNumId w:val="2"/>
  </w:num>
  <w:num w:numId="7" w16cid:durableId="211058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110"/>
    <w:rsid w:val="00022110"/>
    <w:rsid w:val="00404F30"/>
    <w:rsid w:val="006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2488"/>
  <w15:docId w15:val="{28F4F4EE-7341-46FD-995A-BC9F86D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2023-06-15T13:01:00Z</dcterms:modified>
  <dc:language>pt-BR</dc:language>
</cp:coreProperties>
</file>