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FFAE" w14:textId="7182DB85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Programa, ao longo do quadriênio em avaliação, titulou 55 mestres e 40 doutores, representando uma proporção muito boa da sua base de discentes do mestrado e do doutorado de acordo com os parâmetros da área para o item 3.1. (pelo menos 30% para o mestrado e 12% para o doutorado).</w:t>
      </w:r>
    </w:p>
    <w:p w14:paraId="0B37E804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D91B311" w14:textId="51C5D524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das orientações entre os professores permanentes é muito boa para os parâmetros da área referentes ao item 3.2 (coeficiente de variação do número de orientandos por orientador menor ou igual a 0,5). O programa não tem sistematicamente professores com poucas ou com excesso de orientações (mais de oito orientandos ao final de cada ano), considerando-se todos os vínculos dos professores.</w:t>
      </w:r>
    </w:p>
    <w:p w14:paraId="136F17AC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FE0D8F5" w14:textId="647A6698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de egressos autores de livros e artigos em periódicos é boa de acordo para os parâmetros da área (entre 55% e 75%). Dessa produção, a proporção de produção qualificada é considerada muito boa para programas de doutorado consolidado de acordo com os parâmetros da área (maior ou igual a 50%). Isto reflete no conceito muito bom no item 3.3.</w:t>
      </w:r>
    </w:p>
    <w:p w14:paraId="206F0F59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27F86F4" w14:textId="1C48E462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mediana do tempo de titulação dos alunos de mestrado é muito boa de acordo com os parâmetros da área para o item 3.4 (menor ou igual a 30 meses), assim como para os alunos do doutorado (menor ou igual a 54 meses).</w:t>
      </w:r>
    </w:p>
    <w:p w14:paraId="79310C5D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51F724A" w14:textId="57FAD0CA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dos discentes de mestrado com publicação em anais de congressos é boa para os parâmetros da área (maior ou igual a 40%, mas menor que 60%), enquanto a proporção de discentes de mestrado com publicação em eventos fora do Brasil é muito boa (maior ou igual a 7% dos discentes de mestrado). A proporção dos discentes de doutorado com publicação em anais de congressos é boa para os parâmetros da área (entre 70 e 50%), enquanto a proporção de discentes de doutorado com publicação em eventos fora do Brasil é muito boa (maior ou igual a 20%).</w:t>
      </w:r>
    </w:p>
    <w:p w14:paraId="515DDDCA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DAEAFDF" w14:textId="72703B79" w:rsidR="00350237" w:rsidRPr="00093DBB" w:rsidRDefault="00093DBB" w:rsidP="00093DBB">
      <w:r>
        <w:rPr>
          <w:rFonts w:ascii="Arial" w:hAnsi="Arial" w:cs="Arial"/>
          <w:sz w:val="20"/>
          <w:szCs w:val="20"/>
          <w:lang w:val="pt-BR"/>
        </w:rPr>
        <w:t>Assim, segundo os parâmetros da área o conceito 3.5 é muito bom.</w:t>
      </w:r>
    </w:p>
    <w:sectPr w:rsidR="00350237" w:rsidRPr="00093DB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B81"/>
    <w:multiLevelType w:val="multilevel"/>
    <w:tmpl w:val="7DC091E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82323C"/>
    <w:multiLevelType w:val="multilevel"/>
    <w:tmpl w:val="CEEA8C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F03A62"/>
    <w:multiLevelType w:val="multilevel"/>
    <w:tmpl w:val="F432A2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6376B9"/>
    <w:multiLevelType w:val="multilevel"/>
    <w:tmpl w:val="B0067B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526EDF"/>
    <w:multiLevelType w:val="multilevel"/>
    <w:tmpl w:val="82009EC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3D03AC"/>
    <w:multiLevelType w:val="multilevel"/>
    <w:tmpl w:val="2ECA765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9A7F38"/>
    <w:multiLevelType w:val="multilevel"/>
    <w:tmpl w:val="CA70D16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74658762">
    <w:abstractNumId w:val="2"/>
  </w:num>
  <w:num w:numId="2" w16cid:durableId="376051230">
    <w:abstractNumId w:val="0"/>
  </w:num>
  <w:num w:numId="3" w16cid:durableId="2120876785">
    <w:abstractNumId w:val="4"/>
  </w:num>
  <w:num w:numId="4" w16cid:durableId="96097536">
    <w:abstractNumId w:val="5"/>
  </w:num>
  <w:num w:numId="5" w16cid:durableId="165677909">
    <w:abstractNumId w:val="3"/>
  </w:num>
  <w:num w:numId="6" w16cid:durableId="1068265795">
    <w:abstractNumId w:val="6"/>
  </w:num>
  <w:num w:numId="7" w16cid:durableId="151383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237"/>
    <w:rsid w:val="00093DBB"/>
    <w:rsid w:val="00350237"/>
    <w:rsid w:val="003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98E6"/>
  <w15:docId w15:val="{C8F6A7C9-25FD-4CA1-8647-B39DBCBD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2023-06-15T13:02:00Z</dcterms:modified>
  <dc:language>pt-BR</dc:language>
</cp:coreProperties>
</file>