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08672" w14:textId="4181BA05" w:rsidR="00437F39" w:rsidRDefault="00437F39" w:rsidP="00437F3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do Programa é constituído, na média dos quatro anos, por 12 professores permanentes, 2 colaboradores e nenhum visitante. A proporção do NDP com produção alinhada à proposta do programa é muito boa, de acordo com os parâmetros da área para o item 2.1 (pelo menos 85% dos professores estão alinhados).</w:t>
      </w:r>
    </w:p>
    <w:p w14:paraId="70892BB9" w14:textId="77777777" w:rsidR="00437F39" w:rsidRDefault="00437F39" w:rsidP="00437F3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DCB8819" w14:textId="21516BCB" w:rsidR="00437F39" w:rsidRDefault="00437F39" w:rsidP="00437F3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não depende de professores colaboradores ou visitantes, de acordo com os parâmetros da área (menos do que 20% das orientações e horas-aula estão sob a responsabilidade dos colaboradores ou visitantes). Todos os docentes permanentes apresentaram no período até três vínculos com Programas de pós-graduação (atendendo à Portaria 81/2016) e atendem aos parâmetros da área quanto à proporção de professores em regime integral (mais de 50% do NDP). A estabilidade do corpo docente</w:t>
      </w:r>
    </w:p>
    <w:p w14:paraId="38E2F98D" w14:textId="7A5401BB" w:rsidR="00437F39" w:rsidRDefault="00437F39" w:rsidP="00437F3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permanente permite atribuir o conceito muito bom, segundo os parâmetros da área, para o item 2.2 (pelo menos 75% dos docentes permanentes foram mantidos no Programa ao longo do quadriênio).</w:t>
      </w:r>
    </w:p>
    <w:p w14:paraId="5C674BE0" w14:textId="77777777" w:rsidR="00437F39" w:rsidRDefault="00437F39" w:rsidP="00437F3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EF1234A" w14:textId="2BC8ED7C" w:rsidR="00437F39" w:rsidRDefault="00437F39" w:rsidP="00437F3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 muito boa a proporção de docentes permanentes com projetos de pesquisa com financiamento externo, de acordo com os parâmetros da área (superior a 70%). É muito boa a proporção dos docentes permanentes que tiveram pelo menos 60 horas</w:t>
      </w:r>
      <w:r w:rsidR="005A6EDE">
        <w:rPr>
          <w:rFonts w:ascii="Arial" w:hAnsi="Arial" w:cs="Arial"/>
          <w:lang w:val="pt-BR"/>
        </w:rPr>
        <w:t>-</w:t>
      </w:r>
      <w:r>
        <w:rPr>
          <w:rFonts w:ascii="Arial" w:hAnsi="Arial" w:cs="Arial"/>
          <w:lang w:val="pt-BR"/>
        </w:rPr>
        <w:t>aula no programa durante o quadriênio, segundo os parâmetros da área (pelo menos 85%). Em conjunto, estas métricas resultam em conceito muito bom no item 2.3.</w:t>
      </w:r>
    </w:p>
    <w:p w14:paraId="673D070E" w14:textId="77777777" w:rsidR="00437F39" w:rsidRDefault="00437F39" w:rsidP="00437F3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E3C273C" w14:textId="7C38061B" w:rsidR="00437F39" w:rsidRDefault="00437F39" w:rsidP="00437F3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dos docentes permanentes com atividades na graduação é muito boa, de acordo com os parâmetros da área, para o item 2.4 (pelo menos 85%). Nenhum docente permanente ministrou mais de 300 horas na graduação por ano, em média, no período analisado.</w:t>
      </w:r>
    </w:p>
    <w:p w14:paraId="52E7DF80" w14:textId="77777777" w:rsidR="00437F39" w:rsidRDefault="00437F39" w:rsidP="00437F3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1489EC4" w14:textId="5E9E05C9" w:rsidR="00437F39" w:rsidRDefault="00437F39" w:rsidP="00437F3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de docentes permanentes que participaram de eventos científicos da área, com publicação ou apresentação de palestras, é muito boa pelos parâmetros da área para o item 2.5.</w:t>
      </w:r>
    </w:p>
    <w:sectPr w:rsidR="00437F39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F4986"/>
    <w:multiLevelType w:val="multilevel"/>
    <w:tmpl w:val="9B92D45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64E3578"/>
    <w:multiLevelType w:val="multilevel"/>
    <w:tmpl w:val="02BA17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FF20B1F"/>
    <w:multiLevelType w:val="multilevel"/>
    <w:tmpl w:val="AE36E42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7805A37"/>
    <w:multiLevelType w:val="multilevel"/>
    <w:tmpl w:val="85C8CA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D5F5451"/>
    <w:multiLevelType w:val="multilevel"/>
    <w:tmpl w:val="B8ECDD8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91576CB"/>
    <w:multiLevelType w:val="multilevel"/>
    <w:tmpl w:val="3CB0BAE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E223A80"/>
    <w:multiLevelType w:val="multilevel"/>
    <w:tmpl w:val="DBD4EF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302157423">
    <w:abstractNumId w:val="1"/>
  </w:num>
  <w:num w:numId="2" w16cid:durableId="802817003">
    <w:abstractNumId w:val="2"/>
  </w:num>
  <w:num w:numId="3" w16cid:durableId="914097308">
    <w:abstractNumId w:val="0"/>
  </w:num>
  <w:num w:numId="4" w16cid:durableId="1836148407">
    <w:abstractNumId w:val="6"/>
  </w:num>
  <w:num w:numId="5" w16cid:durableId="383023312">
    <w:abstractNumId w:val="4"/>
  </w:num>
  <w:num w:numId="6" w16cid:durableId="1395354187">
    <w:abstractNumId w:val="5"/>
  </w:num>
  <w:num w:numId="7" w16cid:durableId="853300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20AC"/>
    <w:rsid w:val="001020AC"/>
    <w:rsid w:val="00437F39"/>
    <w:rsid w:val="005A6EDE"/>
    <w:rsid w:val="00B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0B434"/>
  <w15:docId w15:val="{BD27ECD1-07F2-4C0A-999C-BE02D1FD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2023-06-15T13:03:00Z</dcterms:modified>
  <dc:language>pt-BR</dc:language>
</cp:coreProperties>
</file>