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A2BF" w14:textId="195EA753" w:rsidR="00A01D17" w:rsidRDefault="00A01D17" w:rsidP="00A01D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corpo docente do PPG é constituído por 12 DP doutores. A produção bibliográfica e a tecnológica, bem como a formação dos docentes, estão coerentes e alinhadas com o campo de atuação do PPG. Os docentes declarados como permanentes ainda não concluíram orientações no PPG porque o programa iniciou suas atividades em 2016. O Programa conta com mestres entre os colaboradores, contudo todos têm experiência profissional relevante e recente em políticas públicas e gestão governamental (senador, governador de estado, dirigente de organizações públicas, entre outros). O perfil do corpo docente atinge o nível muito bom de acordo com os parâmetros da área (mais de 85% possuem atuação e experiência profissional alinhada ao perfil do egresso).</w:t>
      </w:r>
    </w:p>
    <w:p w14:paraId="16F786ED" w14:textId="77777777" w:rsidR="00A01D17" w:rsidRDefault="00A01D17" w:rsidP="00A01D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E5EA72F" w14:textId="55D1A702" w:rsidR="00A01D17" w:rsidRDefault="00A01D17" w:rsidP="00A01D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estabilidade do corpo docente permanente é muito boa em relação à proposta recomendada pela Capes, o que corresponde a muito bom pelos parâmetros da área. A totalidade dos docentes ministram 60 horas aula na graduação, seguindo a Portaria da Capes No. 81/2016, o que corresponde ao conceito muito bom.</w:t>
      </w:r>
    </w:p>
    <w:p w14:paraId="29AA68DA" w14:textId="77777777" w:rsidR="00A01D17" w:rsidRDefault="00A01D17" w:rsidP="00A01D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34E8F735" w14:textId="225E7629" w:rsidR="00A01D17" w:rsidRDefault="00A01D17" w:rsidP="00A01D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Não existe dependência de colaboradores e visitantes para a condução das atividades de docência e orientação do PPG. A maioria das atividades de disciplinas e orientações é executada por DP. A maioria dos docentes permanentes tem vínculo de 40 horas com a IES, o que atende a Portaria CAPES No. 81/2016.</w:t>
      </w:r>
    </w:p>
    <w:p w14:paraId="03236B78" w14:textId="77777777" w:rsidR="00A01D17" w:rsidRDefault="00A01D17" w:rsidP="00A01D1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38646195" w14:textId="6DE1ED1C" w:rsidR="00D00CED" w:rsidRPr="00A01D17" w:rsidRDefault="00A01D17" w:rsidP="00A01D17">
      <w:pPr>
        <w:suppressAutoHyphens w:val="0"/>
        <w:autoSpaceDE w:val="0"/>
        <w:autoSpaceDN w:val="0"/>
        <w:adjustRightInd w:val="0"/>
        <w:spacing w:after="0" w:line="240" w:lineRule="auto"/>
        <w:rPr>
          <w:u w:val="single"/>
        </w:rPr>
      </w:pPr>
      <w:r>
        <w:rPr>
          <w:rFonts w:ascii="Arial" w:hAnsi="Arial" w:cs="Arial"/>
          <w:sz w:val="20"/>
          <w:szCs w:val="20"/>
          <w:lang w:val="pt-BR"/>
        </w:rPr>
        <w:t>A proporção de docentes permanentes que lidera projetos de pesquisa, desenvolvimento e inovação em organizações públicas ou privadas com financiamento externo à IES é nula. Nenhum docente permanente coordena projeto financiado, o que corresponde a insuficiente pelos parâmetros da área.</w:t>
      </w:r>
    </w:p>
    <w:sectPr w:rsidR="00D00CED" w:rsidRPr="00A01D1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B8A"/>
    <w:multiLevelType w:val="multilevel"/>
    <w:tmpl w:val="F602586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5A75531"/>
    <w:multiLevelType w:val="multilevel"/>
    <w:tmpl w:val="EB862E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B637C25"/>
    <w:multiLevelType w:val="multilevel"/>
    <w:tmpl w:val="E58248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D2B6DFA"/>
    <w:multiLevelType w:val="multilevel"/>
    <w:tmpl w:val="D3526D3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8993FD4"/>
    <w:multiLevelType w:val="multilevel"/>
    <w:tmpl w:val="C1542D0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57A3DAE"/>
    <w:multiLevelType w:val="multilevel"/>
    <w:tmpl w:val="0E8C5E2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F5A71F0"/>
    <w:multiLevelType w:val="multilevel"/>
    <w:tmpl w:val="C144D6E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113939510">
    <w:abstractNumId w:val="0"/>
  </w:num>
  <w:num w:numId="2" w16cid:durableId="324285665">
    <w:abstractNumId w:val="3"/>
  </w:num>
  <w:num w:numId="3" w16cid:durableId="1413359658">
    <w:abstractNumId w:val="4"/>
  </w:num>
  <w:num w:numId="4" w16cid:durableId="1049456482">
    <w:abstractNumId w:val="6"/>
  </w:num>
  <w:num w:numId="5" w16cid:durableId="1262713793">
    <w:abstractNumId w:val="5"/>
  </w:num>
  <w:num w:numId="6" w16cid:durableId="1935085352">
    <w:abstractNumId w:val="2"/>
  </w:num>
  <w:num w:numId="7" w16cid:durableId="1356616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0CED"/>
    <w:rsid w:val="00A01D17"/>
    <w:rsid w:val="00D00CED"/>
    <w:rsid w:val="00E3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DC544"/>
  <w15:docId w15:val="{F175865A-92BE-44AC-BFF1-93224B1E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2023-06-15T13:17:00Z</dcterms:modified>
  <dc:language>pt-BR</dc:language>
</cp:coreProperties>
</file>