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85188" w14:textId="73D0A490" w:rsidR="00E3556C" w:rsidRDefault="00E3556C" w:rsidP="00E3556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Na questão educacional, o PPG tem atuação na formação de outros níveis de ensino, como, por exemplo, na oferta de especializações envolvendo conhecimentos da área de Administração Pública e do Direito. Também foi relatada a participação de discentes do Mestrado em atividades da Graduação e a existência do Laboratório de Pesquisa, que consiste em um grupo de estudo e pesquisa voltado para os alunos da graduação. Além disto, o PPG vem realizando cursos gratuitos voltados para capacitação de estudantes do Ensino Médio. Quanto ao impacto social, o Programa realiza eventos envolvendo a comunidade para a discussão de temas relevantes da Administração Pública. Quanto ao impacto tecnológico/econômico, os docentes do PPG têm atuação relevante em organizações públicas e contribuem para a difusão do conhecimento sobre o campo por meio de entrevistas e artigos em revistas e jornais de grande circulação, tais como a Folha de São Paulo, o Estado de São Paulo e Conjuntura Econômica, com temas voltados para a gestão pública. O impacto do programa é considerado muito bom.</w:t>
      </w:r>
    </w:p>
    <w:p w14:paraId="4163D4A1" w14:textId="77777777" w:rsidR="00E3556C" w:rsidRDefault="00E3556C" w:rsidP="00E3556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1C6A8C3B" w14:textId="5D47E908" w:rsidR="00E3556C" w:rsidRDefault="00E3556C" w:rsidP="00E3556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PPG participa de programas sistemáticos de cooperação e intercâmbio por meio de convênios institucionais mantidos pelo IDP com instituições como: Associação dos Gestores em Políticas Públicas e Gestão Governamental do Distrito Federal (ADESP/DF); Associação dos Servidores do Fundo Nacional de Desenvolvimento da Educação (ASSFNDE); Associação Goiana de Municípios (AGM); Associação Nacional dos Servidores da Carreira de Planejamento e Orçamento (ASSECOR); Associação Nacional dos Auditores Fiscais da Receita Federal do Brasil (UNAFISCO); Associação Nacional dos Especialistas em Políticas Públicas e Gestão Governamental (ANESP); Confederação Nacional dos Municípios (CNM); Escola Superior de Advocacia (ESA – OAB/DF); Fundação João Mangabeira (FJM); Fórum Nacional Permanente de Carreiras Típicas de Estado (FONACATE); Sindicato Nacional dos Servidores das Agências Nacionais de Regulação (</w:t>
      </w:r>
      <w:proofErr w:type="spellStart"/>
      <w:r>
        <w:rPr>
          <w:rFonts w:ascii="Arial" w:hAnsi="Arial" w:cs="Arial"/>
          <w:sz w:val="20"/>
          <w:szCs w:val="20"/>
          <w:lang w:val="pt-BR"/>
        </w:rPr>
        <w:t>Sinagencias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); Sindicato Nacional dos Analistas e Técnicos de Finanças e Controle (UNACON). O IDP possui convênios com 06 instituições de ensino estrangeiras, realizando atividades regulares de intercambio de alunos e professores. No ano de 2016, como resultado foram realizadas atividades de intercambio de alunos e professores, além do compartilhamento e produção conjunta de pesquisas e artigos científicos. O PPG pratica a cooperação do PPG com outras organizações internacionais como: Washington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College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of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Law (WCL) – Washington, D.C., EUA; Penn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State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University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– Pensilvânia, EUA; Instituto de Ciências Jurídico-Políticas (ICPJ) – Lisboa, Portugal;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University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of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Texas – Austin;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Fachhochschule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für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öffentliche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Verwaltung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NRW – Alemanha; Fundação Peter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Häberle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– Granada, Espanha. O PPG tem efetiva integração e cooperação com outras IES e organizações. A integração e cooperação são consideradas muito boas. </w:t>
      </w:r>
    </w:p>
    <w:p w14:paraId="12B65C7B" w14:textId="77777777" w:rsidR="00E3556C" w:rsidRDefault="00E3556C" w:rsidP="00E3556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1C41C4D" w14:textId="520E1C7E" w:rsidR="000F6097" w:rsidRPr="00E3556C" w:rsidRDefault="00E3556C" w:rsidP="00E3556C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 xml:space="preserve">O PPG apresenta site na internet, embora não foi informada a data da última atualização. O site do programa apresenta as informações sobre seleção dos alunos. O acesso ao site é realizado mediante cadastro, reduzindo a visibilidade do PPG. O site do programa apresenta as informações sobre seleção dos alunos. Não indica produção científica dos docentes e discentes. O acesso a estes dados também não foi informado nos documentos. A avaliação deste item foi </w:t>
      </w:r>
      <w:proofErr w:type="gramStart"/>
      <w:r>
        <w:rPr>
          <w:rFonts w:ascii="Arial" w:hAnsi="Arial" w:cs="Arial"/>
          <w:sz w:val="20"/>
          <w:szCs w:val="20"/>
          <w:lang w:val="pt-BR"/>
        </w:rPr>
        <w:t>fraco</w:t>
      </w:r>
      <w:proofErr w:type="gramEnd"/>
      <w:r>
        <w:rPr>
          <w:rFonts w:ascii="Arial" w:hAnsi="Arial" w:cs="Arial"/>
          <w:sz w:val="20"/>
          <w:szCs w:val="20"/>
          <w:lang w:val="pt-BR"/>
        </w:rPr>
        <w:t>.</w:t>
      </w:r>
    </w:p>
    <w:sectPr w:rsidR="000F6097" w:rsidRPr="00E3556C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3FE2"/>
    <w:multiLevelType w:val="multilevel"/>
    <w:tmpl w:val="013828B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7212963"/>
    <w:multiLevelType w:val="multilevel"/>
    <w:tmpl w:val="E0BE54B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60D4471"/>
    <w:multiLevelType w:val="multilevel"/>
    <w:tmpl w:val="CFF8EEB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6FA4F8A"/>
    <w:multiLevelType w:val="multilevel"/>
    <w:tmpl w:val="6928845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9467A7B"/>
    <w:multiLevelType w:val="multilevel"/>
    <w:tmpl w:val="2EF48C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0C20C84"/>
    <w:multiLevelType w:val="multilevel"/>
    <w:tmpl w:val="9CD05E0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60B577A"/>
    <w:multiLevelType w:val="multilevel"/>
    <w:tmpl w:val="7A9063B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77024105">
    <w:abstractNumId w:val="1"/>
  </w:num>
  <w:num w:numId="2" w16cid:durableId="865679722">
    <w:abstractNumId w:val="6"/>
  </w:num>
  <w:num w:numId="3" w16cid:durableId="1353994277">
    <w:abstractNumId w:val="5"/>
  </w:num>
  <w:num w:numId="4" w16cid:durableId="86196092">
    <w:abstractNumId w:val="3"/>
  </w:num>
  <w:num w:numId="5" w16cid:durableId="1988321200">
    <w:abstractNumId w:val="2"/>
  </w:num>
  <w:num w:numId="6" w16cid:durableId="1928078971">
    <w:abstractNumId w:val="0"/>
  </w:num>
  <w:num w:numId="7" w16cid:durableId="1341198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6097"/>
    <w:rsid w:val="000F6097"/>
    <w:rsid w:val="00392792"/>
    <w:rsid w:val="00E3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4113C"/>
  <w15:docId w15:val="{A6440430-858E-40E6-AC2C-3E3CB47B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523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2023-06-15T13:19:00Z</dcterms:modified>
  <dc:language>pt-BR</dc:language>
</cp:coreProperties>
</file>