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38C7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PPGA teve em média 14 docentes permanentes no quadriênio.</w:t>
      </w:r>
    </w:p>
    <w:p w14:paraId="5DAE3DAD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09F392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DP possuem doutorado, com exceção de uma professora que foi desligada no primeiro ano.</w:t>
      </w:r>
    </w:p>
    <w:p w14:paraId="6E9D376A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BC18353" w14:textId="3BBFE074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Percebe-se a partir das produções, que existem dois perfis: um mais voltado ao escopo do MP, outro mais afeto a temas ligados à empresa. A distribuição dos perfis entre esses dois tipos é considerada regular pelos parâmetros da área (entre 55 e 70% dos DP têm aderência ao escopo do PPG).</w:t>
      </w:r>
    </w:p>
    <w:p w14:paraId="221C7332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BE6FD18" w14:textId="4C160539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maioria dos docentes permanentes tem vínculo de 40 horas com a Instituição, o que atende a Portaria CAPES N</w:t>
      </w:r>
      <w:r w:rsidR="00C71AE6">
        <w:rPr>
          <w:rFonts w:ascii="Arial" w:hAnsi="Arial" w:cs="Arial"/>
          <w:lang w:val="pt-BR"/>
        </w:rPr>
        <w:t>úmero</w:t>
      </w:r>
      <w:r>
        <w:rPr>
          <w:rFonts w:ascii="Arial" w:hAnsi="Arial" w:cs="Arial"/>
          <w:lang w:val="pt-BR"/>
        </w:rPr>
        <w:t xml:space="preserve"> 81/ 2016. E não há dependência de colaboradores para a condução das atividades de docência e orientação (menos de 20% destas atividades na responsabilidade de colaboradores no quadriênio).</w:t>
      </w:r>
    </w:p>
    <w:p w14:paraId="174427C6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CE45238" w14:textId="633A938B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DP com 60</w:t>
      </w:r>
      <w:r w:rsidR="00C71AE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h</w:t>
      </w:r>
      <w:r w:rsidR="00C71AE6">
        <w:rPr>
          <w:rFonts w:ascii="Arial" w:hAnsi="Arial" w:cs="Arial"/>
          <w:lang w:val="pt-BR"/>
        </w:rPr>
        <w:t>oras-</w:t>
      </w:r>
      <w:r>
        <w:rPr>
          <w:rFonts w:ascii="Arial" w:hAnsi="Arial" w:cs="Arial"/>
          <w:lang w:val="pt-BR"/>
        </w:rPr>
        <w:t>aulas no programa no período foi considerada muito boa pelos critérios da área (pelo menos 85% do DP). A estabilidade do corpo docente foi muito boa (pelo menos 75% dos DP foram mantidos no quadriênio). Estes dois conceitos definem o conceito muito bom do item 2.2.</w:t>
      </w:r>
    </w:p>
    <w:p w14:paraId="4F0A9EA5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64E4C94" w14:textId="131C6FB4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com projetos financiados no período é considerada muito boa pelos parâmetros área (pelo menos 50% DP com projetos). O coeficiente de variação da distribuição das orientações pelos docentes permanentes foi considerado bom, pelos parâmetros da Área (entre 0,65 e 0,90). Estes dois conceitos definem o conceito bom do item 2.3.</w:t>
      </w:r>
    </w:p>
    <w:sectPr w:rsidR="00902A6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5F9"/>
    <w:multiLevelType w:val="multilevel"/>
    <w:tmpl w:val="C08650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3B4E5A"/>
    <w:multiLevelType w:val="multilevel"/>
    <w:tmpl w:val="2D56960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73146B"/>
    <w:multiLevelType w:val="multilevel"/>
    <w:tmpl w:val="E892B0A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E87FBB"/>
    <w:multiLevelType w:val="multilevel"/>
    <w:tmpl w:val="1A06CB8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5D3651"/>
    <w:multiLevelType w:val="multilevel"/>
    <w:tmpl w:val="EE32A8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971683D"/>
    <w:multiLevelType w:val="multilevel"/>
    <w:tmpl w:val="8544FF3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947B07"/>
    <w:multiLevelType w:val="multilevel"/>
    <w:tmpl w:val="0C662A9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86817962">
    <w:abstractNumId w:val="5"/>
  </w:num>
  <w:num w:numId="2" w16cid:durableId="115417152">
    <w:abstractNumId w:val="6"/>
  </w:num>
  <w:num w:numId="3" w16cid:durableId="1857577596">
    <w:abstractNumId w:val="1"/>
  </w:num>
  <w:num w:numId="4" w16cid:durableId="1953515932">
    <w:abstractNumId w:val="4"/>
  </w:num>
  <w:num w:numId="5" w16cid:durableId="1568684232">
    <w:abstractNumId w:val="3"/>
  </w:num>
  <w:num w:numId="6" w16cid:durableId="287854050">
    <w:abstractNumId w:val="2"/>
  </w:num>
  <w:num w:numId="7" w16cid:durableId="22479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0F1"/>
    <w:rsid w:val="00563083"/>
    <w:rsid w:val="007D10F1"/>
    <w:rsid w:val="00902A69"/>
    <w:rsid w:val="00C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1DAE"/>
  <w15:docId w15:val="{67B3848C-B837-4243-AF90-16B555E6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2023-06-15T13:26:00Z</dcterms:modified>
  <dc:language>pt-BR</dc:language>
</cp:coreProperties>
</file>