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0E958" w14:textId="3B8DB212" w:rsidR="003A74CF" w:rsidRDefault="003A74CF" w:rsidP="003A74CF">
      <w:pPr>
        <w:suppressAutoHyphens w:val="0"/>
        <w:autoSpaceDE w:val="0"/>
        <w:autoSpaceDN w:val="0"/>
        <w:adjustRightInd w:val="0"/>
        <w:spacing w:after="0" w:line="240" w:lineRule="auto"/>
        <w:rPr>
          <w:rFonts w:ascii="Arial" w:hAnsi="Arial" w:cs="Arial"/>
          <w:lang w:val="pt-BR"/>
        </w:rPr>
      </w:pPr>
      <w:r>
        <w:rPr>
          <w:rFonts w:ascii="Arial" w:hAnsi="Arial" w:cs="Arial"/>
          <w:lang w:val="pt-BR"/>
        </w:rPr>
        <w:t>O PPG iniciou suas atividades em 2012. Possui uma área de concentração, Gestão Pública do Desenvolvimento e duas linhas de atuação - Gestão de Organizações Públicas e Gestão Pública Municipal - que expressam recorte específico dentro do campo da Gestão Pública.</w:t>
      </w:r>
    </w:p>
    <w:p w14:paraId="6C142ED2" w14:textId="77777777" w:rsidR="003A74CF" w:rsidRDefault="003A74CF" w:rsidP="003A74CF">
      <w:pPr>
        <w:suppressAutoHyphens w:val="0"/>
        <w:autoSpaceDE w:val="0"/>
        <w:autoSpaceDN w:val="0"/>
        <w:adjustRightInd w:val="0"/>
        <w:spacing w:after="0" w:line="240" w:lineRule="auto"/>
        <w:rPr>
          <w:rFonts w:ascii="Arial" w:hAnsi="Arial" w:cs="Arial"/>
          <w:lang w:val="pt-BR"/>
        </w:rPr>
      </w:pPr>
    </w:p>
    <w:p w14:paraId="30172F6D" w14:textId="194D861F" w:rsidR="003A74CF" w:rsidRDefault="003A74CF" w:rsidP="003A74CF">
      <w:pPr>
        <w:suppressAutoHyphens w:val="0"/>
        <w:autoSpaceDE w:val="0"/>
        <w:autoSpaceDN w:val="0"/>
        <w:adjustRightInd w:val="0"/>
        <w:spacing w:after="0" w:line="240" w:lineRule="auto"/>
        <w:rPr>
          <w:rFonts w:ascii="Arial" w:hAnsi="Arial" w:cs="Arial"/>
          <w:lang w:val="pt-BR"/>
        </w:rPr>
      </w:pPr>
      <w:r>
        <w:rPr>
          <w:rFonts w:ascii="Arial" w:hAnsi="Arial" w:cs="Arial"/>
          <w:lang w:val="pt-BR"/>
        </w:rPr>
        <w:t>O curso faz parte de uma rede de estudos sobre desenvolvimento sustentável da Amazônia, o que tem alinhamento com a área de concentração de Gestão Pública do Desenvolvimento. A proposta curricular foi alterada em 2015, para, segundo o relato, suprir lacunas e sobreposições. As linhas de atuação têm coerência com a produção intelectual. Os projetos de pesquisa desenvolvidos estão parcialmente em consonância com as linhas de atuação. As disciplinas dão suporte à área de concentração e estão orientadas para o campo profissional da gestão pública e às especificidades daquele território.</w:t>
      </w:r>
    </w:p>
    <w:p w14:paraId="19BC5688" w14:textId="77777777" w:rsidR="003A74CF" w:rsidRDefault="003A74CF" w:rsidP="003A74CF">
      <w:pPr>
        <w:suppressAutoHyphens w:val="0"/>
        <w:autoSpaceDE w:val="0"/>
        <w:autoSpaceDN w:val="0"/>
        <w:adjustRightInd w:val="0"/>
        <w:spacing w:after="0" w:line="240" w:lineRule="auto"/>
        <w:rPr>
          <w:rFonts w:ascii="Arial" w:hAnsi="Arial" w:cs="Arial"/>
          <w:lang w:val="pt-BR"/>
        </w:rPr>
      </w:pPr>
    </w:p>
    <w:p w14:paraId="3BB2934E" w14:textId="048342AA" w:rsidR="00CC5962" w:rsidRDefault="003A74CF" w:rsidP="003A74CF">
      <w:pPr>
        <w:rPr>
          <w:rFonts w:ascii="Arial" w:hAnsi="Arial" w:cs="Arial"/>
          <w:lang w:val="pt-BR"/>
        </w:rPr>
      </w:pPr>
      <w:r>
        <w:rPr>
          <w:rFonts w:ascii="Arial" w:hAnsi="Arial" w:cs="Arial"/>
          <w:lang w:val="pt-BR"/>
        </w:rPr>
        <w:t>As ementas demonstram conteúdo profissional e aplicado.</w:t>
      </w:r>
    </w:p>
    <w:p w14:paraId="1F1BF67F" w14:textId="5879859B" w:rsidR="003A74CF" w:rsidRDefault="003A74CF" w:rsidP="003A74CF">
      <w:pPr>
        <w:suppressAutoHyphens w:val="0"/>
        <w:autoSpaceDE w:val="0"/>
        <w:autoSpaceDN w:val="0"/>
        <w:adjustRightInd w:val="0"/>
        <w:spacing w:after="0" w:line="240" w:lineRule="auto"/>
        <w:rPr>
          <w:rFonts w:ascii="Arial" w:hAnsi="Arial" w:cs="Arial"/>
          <w:lang w:val="pt-BR"/>
        </w:rPr>
      </w:pPr>
      <w:r>
        <w:rPr>
          <w:rFonts w:ascii="Arial" w:hAnsi="Arial" w:cs="Arial"/>
          <w:lang w:val="pt-BR"/>
        </w:rPr>
        <w:t>Se Nota que algumas disciplinas requerem revisões, em suas ementas e ou em suas referências. Em particular, quanto às referências. Percebe-se que algumas delas não garantem uma formação atualizada. A proposta descreve o perfil de entrada do discente e não o perfil do egresso. A proposta atingiu nível regular pelos critérios da área.</w:t>
      </w:r>
    </w:p>
    <w:p w14:paraId="3BC0347A" w14:textId="77777777" w:rsidR="003A74CF" w:rsidRDefault="003A74CF" w:rsidP="003A74CF">
      <w:pPr>
        <w:suppressAutoHyphens w:val="0"/>
        <w:autoSpaceDE w:val="0"/>
        <w:autoSpaceDN w:val="0"/>
        <w:adjustRightInd w:val="0"/>
        <w:spacing w:after="0" w:line="240" w:lineRule="auto"/>
        <w:rPr>
          <w:rFonts w:ascii="Arial" w:hAnsi="Arial" w:cs="Arial"/>
          <w:lang w:val="pt-BR"/>
        </w:rPr>
      </w:pPr>
    </w:p>
    <w:p w14:paraId="74BFF3C8" w14:textId="4D50812F" w:rsidR="003A74CF" w:rsidRDefault="003A74CF" w:rsidP="003A74CF">
      <w:pPr>
        <w:suppressAutoHyphens w:val="0"/>
        <w:autoSpaceDE w:val="0"/>
        <w:autoSpaceDN w:val="0"/>
        <w:adjustRightInd w:val="0"/>
        <w:spacing w:after="0" w:line="240" w:lineRule="auto"/>
        <w:rPr>
          <w:rFonts w:ascii="Arial" w:hAnsi="Arial" w:cs="Arial"/>
          <w:lang w:val="pt-BR"/>
        </w:rPr>
      </w:pPr>
      <w:r>
        <w:rPr>
          <w:rFonts w:ascii="Arial" w:hAnsi="Arial" w:cs="Arial"/>
          <w:lang w:val="pt-BR"/>
        </w:rPr>
        <w:t>Sobre mecanismos de interação com outras instituições e convênios, não constam informações claras sobre sua existência e sua aplicação, para além dos projetos de intervenção, o que remete ao nível regular.</w:t>
      </w:r>
    </w:p>
    <w:p w14:paraId="48C23EFD" w14:textId="77777777" w:rsidR="003A74CF" w:rsidRDefault="003A74CF" w:rsidP="003A74CF">
      <w:pPr>
        <w:suppressAutoHyphens w:val="0"/>
        <w:autoSpaceDE w:val="0"/>
        <w:autoSpaceDN w:val="0"/>
        <w:adjustRightInd w:val="0"/>
        <w:spacing w:after="0" w:line="240" w:lineRule="auto"/>
        <w:rPr>
          <w:rFonts w:ascii="Arial" w:hAnsi="Arial" w:cs="Arial"/>
          <w:lang w:val="pt-BR"/>
        </w:rPr>
      </w:pPr>
    </w:p>
    <w:p w14:paraId="557E3E01" w14:textId="49005FB1" w:rsidR="003A74CF" w:rsidRDefault="003A74CF" w:rsidP="003A74CF">
      <w:pPr>
        <w:suppressAutoHyphens w:val="0"/>
        <w:autoSpaceDE w:val="0"/>
        <w:autoSpaceDN w:val="0"/>
        <w:adjustRightInd w:val="0"/>
        <w:spacing w:after="0" w:line="240" w:lineRule="auto"/>
        <w:rPr>
          <w:rFonts w:ascii="Arial" w:hAnsi="Arial" w:cs="Arial"/>
          <w:lang w:val="pt-BR"/>
        </w:rPr>
      </w:pPr>
      <w:r>
        <w:rPr>
          <w:rFonts w:ascii="Arial" w:hAnsi="Arial" w:cs="Arial"/>
          <w:lang w:val="pt-BR"/>
        </w:rPr>
        <w:t>O relatório evidencia a disponibilização de 02 salas de aula; 01 sala de reuniões e estudos, destinada ao uso dos professores não lotados no NAEA; 01 sala da coordenação; 01 sala da secretaria; e 09 salas utilizadas pelos docentes do Programa lotados no NAEA. Dispõe de biblioteca e o acesso às bases de dados, se dá pelo Portal de Periódicos da Capes. A infraestrutura atinge o conceito muito bom de acordo com parâmetros da área.</w:t>
      </w:r>
    </w:p>
    <w:p w14:paraId="46F425EF" w14:textId="77777777" w:rsidR="003A74CF" w:rsidRDefault="003A74CF" w:rsidP="003A74CF">
      <w:pPr>
        <w:suppressAutoHyphens w:val="0"/>
        <w:autoSpaceDE w:val="0"/>
        <w:autoSpaceDN w:val="0"/>
        <w:adjustRightInd w:val="0"/>
        <w:spacing w:after="0" w:line="240" w:lineRule="auto"/>
        <w:rPr>
          <w:rFonts w:ascii="Arial" w:hAnsi="Arial" w:cs="Arial"/>
          <w:lang w:val="pt-BR"/>
        </w:rPr>
      </w:pPr>
    </w:p>
    <w:p w14:paraId="7C2D7372" w14:textId="7CC69ABC" w:rsidR="003A74CF" w:rsidRDefault="003A74CF" w:rsidP="003A74CF">
      <w:pPr>
        <w:suppressAutoHyphens w:val="0"/>
        <w:autoSpaceDE w:val="0"/>
        <w:autoSpaceDN w:val="0"/>
        <w:adjustRightInd w:val="0"/>
        <w:spacing w:after="0" w:line="240" w:lineRule="auto"/>
        <w:rPr>
          <w:rFonts w:ascii="Arial" w:hAnsi="Arial" w:cs="Arial"/>
          <w:lang w:val="pt-BR"/>
        </w:rPr>
      </w:pPr>
      <w:r>
        <w:rPr>
          <w:rFonts w:ascii="Arial" w:hAnsi="Arial" w:cs="Arial"/>
          <w:lang w:val="pt-BR"/>
        </w:rPr>
        <w:t>Está demonstrado o financiamento de projetos por entidades externas à instituição, tais como, Agência Espanhola de Cooperação Internacional, Banco Nacional de Desenvolvimento Econômico e Social, Ministérios, Governo estadual, Prefeituras e organizações Públicas. A Universidade do Estado do Pará contribui com o financiamento do PPG por meio da reserva de vagas para seus servidores.</w:t>
      </w:r>
    </w:p>
    <w:p w14:paraId="13BF405B" w14:textId="77777777" w:rsidR="003A74CF" w:rsidRDefault="003A74CF" w:rsidP="003A74CF">
      <w:pPr>
        <w:suppressAutoHyphens w:val="0"/>
        <w:autoSpaceDE w:val="0"/>
        <w:autoSpaceDN w:val="0"/>
        <w:adjustRightInd w:val="0"/>
        <w:spacing w:after="0" w:line="240" w:lineRule="auto"/>
        <w:rPr>
          <w:rFonts w:ascii="Arial" w:hAnsi="Arial" w:cs="Arial"/>
          <w:lang w:val="pt-BR"/>
        </w:rPr>
      </w:pPr>
    </w:p>
    <w:p w14:paraId="48EA60E3" w14:textId="1C6B2A92" w:rsidR="003A74CF" w:rsidRDefault="003A74CF" w:rsidP="003A74CF">
      <w:pPr>
        <w:suppressAutoHyphens w:val="0"/>
        <w:autoSpaceDE w:val="0"/>
        <w:autoSpaceDN w:val="0"/>
        <w:adjustRightInd w:val="0"/>
        <w:spacing w:after="0" w:line="240" w:lineRule="auto"/>
        <w:rPr>
          <w:rFonts w:ascii="Arial" w:hAnsi="Arial" w:cs="Arial"/>
          <w:lang w:val="pt-BR"/>
        </w:rPr>
      </w:pPr>
      <w:r>
        <w:rPr>
          <w:rFonts w:ascii="Arial" w:hAnsi="Arial" w:cs="Arial"/>
          <w:lang w:val="pt-BR"/>
        </w:rPr>
        <w:t>No relatório não há evidência de planejamento. Cita-se ação de levar a biblioteca à comunidade, mas considera-se que isso está fora do escopo do PPG. Ainda, apontam estratégias para superar pontos francos, sem dizer, quando foram adotadas, e se já há resultados delas. Além disso, o maior número de egressos, pelo que consta no relatório, é de servidores da própria UFPA, o que restringe a necessidade de se fazer uma reflexão maior sobre o futuro do PPG.</w:t>
      </w:r>
    </w:p>
    <w:p w14:paraId="5328CF85" w14:textId="77777777" w:rsidR="00E61785" w:rsidRDefault="00E61785" w:rsidP="003A74CF">
      <w:pPr>
        <w:suppressAutoHyphens w:val="0"/>
        <w:autoSpaceDE w:val="0"/>
        <w:autoSpaceDN w:val="0"/>
        <w:adjustRightInd w:val="0"/>
        <w:spacing w:after="0" w:line="240" w:lineRule="auto"/>
        <w:rPr>
          <w:rFonts w:ascii="Arial" w:hAnsi="Arial" w:cs="Arial"/>
          <w:lang w:val="pt-BR"/>
        </w:rPr>
      </w:pPr>
    </w:p>
    <w:p w14:paraId="03CA3F0F" w14:textId="77777777" w:rsidR="00E61785" w:rsidRDefault="00E61785" w:rsidP="00E61785">
      <w:pPr>
        <w:suppressAutoHyphens w:val="0"/>
        <w:autoSpaceDE w:val="0"/>
        <w:autoSpaceDN w:val="0"/>
        <w:adjustRightInd w:val="0"/>
        <w:spacing w:after="0" w:line="240" w:lineRule="auto"/>
        <w:rPr>
          <w:rFonts w:ascii="Arial" w:hAnsi="Arial" w:cs="Arial"/>
          <w:lang w:val="pt-BR"/>
        </w:rPr>
      </w:pPr>
      <w:r>
        <w:rPr>
          <w:rFonts w:ascii="Arial" w:hAnsi="Arial" w:cs="Arial"/>
          <w:lang w:val="pt-BR"/>
        </w:rPr>
        <w:t>1.1</w:t>
      </w:r>
    </w:p>
    <w:p w14:paraId="5911F83F" w14:textId="51B474D0" w:rsidR="00E61785" w:rsidRDefault="00E61785" w:rsidP="00E61785">
      <w:pPr>
        <w:suppressAutoHyphens w:val="0"/>
        <w:autoSpaceDE w:val="0"/>
        <w:autoSpaceDN w:val="0"/>
        <w:adjustRightInd w:val="0"/>
        <w:spacing w:after="0" w:line="240" w:lineRule="auto"/>
        <w:rPr>
          <w:rFonts w:ascii="Arial" w:hAnsi="Arial" w:cs="Arial"/>
          <w:lang w:val="pt-BR"/>
        </w:rPr>
      </w:pPr>
      <w:r>
        <w:rPr>
          <w:rFonts w:ascii="Arial" w:hAnsi="Arial" w:cs="Arial"/>
          <w:lang w:val="pt-BR"/>
        </w:rPr>
        <w:t>Após a apreciação do relatório, ratifica-se o conceito atribuído pela comissão de avaliação da quadrienal. Os projetos de pesquisa desenvolvidos estão parcialmente em consonância com as linhas de atuação, havendo diversos projetos em áreas não ligadas às linhas de atuação. Nota-se também que algumas</w:t>
      </w:r>
    </w:p>
    <w:p w14:paraId="6758AECD" w14:textId="65B6CEB9" w:rsidR="00E61785" w:rsidRDefault="00E61785" w:rsidP="00E61785">
      <w:pPr>
        <w:suppressAutoHyphens w:val="0"/>
        <w:autoSpaceDE w:val="0"/>
        <w:autoSpaceDN w:val="0"/>
        <w:adjustRightInd w:val="0"/>
        <w:spacing w:after="0" w:line="240" w:lineRule="auto"/>
        <w:rPr>
          <w:rFonts w:ascii="Arial" w:hAnsi="Arial" w:cs="Arial"/>
          <w:lang w:val="pt-BR"/>
        </w:rPr>
      </w:pPr>
      <w:r>
        <w:rPr>
          <w:rFonts w:ascii="Arial" w:hAnsi="Arial" w:cs="Arial"/>
          <w:lang w:val="pt-BR"/>
        </w:rPr>
        <w:lastRenderedPageBreak/>
        <w:t>disciplinas estão desatualizadas em suas ementas e/ou em suas referências. Percebe-se que algumas delas não garantem uma formação atualizada. Além disso, a proposta descreve o perfil de entrada do discente e não explicitamente o perfil do egresso. Assim, recomenda-se a manutenção do conceito para o item.</w:t>
      </w:r>
    </w:p>
    <w:p w14:paraId="0369C0F7" w14:textId="77777777" w:rsidR="00E61785" w:rsidRDefault="00E61785" w:rsidP="00E61785">
      <w:pPr>
        <w:suppressAutoHyphens w:val="0"/>
        <w:autoSpaceDE w:val="0"/>
        <w:autoSpaceDN w:val="0"/>
        <w:adjustRightInd w:val="0"/>
        <w:spacing w:after="0" w:line="240" w:lineRule="auto"/>
        <w:rPr>
          <w:rFonts w:ascii="Arial" w:hAnsi="Arial" w:cs="Arial"/>
          <w:lang w:val="pt-BR"/>
        </w:rPr>
      </w:pPr>
    </w:p>
    <w:p w14:paraId="302183DC" w14:textId="5036CB88" w:rsidR="00E61785" w:rsidRDefault="00E61785" w:rsidP="00E61785">
      <w:pPr>
        <w:suppressAutoHyphens w:val="0"/>
        <w:autoSpaceDE w:val="0"/>
        <w:autoSpaceDN w:val="0"/>
        <w:adjustRightInd w:val="0"/>
        <w:spacing w:after="0" w:line="240" w:lineRule="auto"/>
        <w:rPr>
          <w:rFonts w:ascii="Arial" w:hAnsi="Arial" w:cs="Arial"/>
          <w:lang w:val="pt-BR"/>
        </w:rPr>
      </w:pPr>
      <w:r>
        <w:rPr>
          <w:rFonts w:ascii="Arial" w:hAnsi="Arial" w:cs="Arial"/>
          <w:lang w:val="pt-BR"/>
        </w:rPr>
        <w:t>1.2</w:t>
      </w:r>
    </w:p>
    <w:p w14:paraId="525109E7" w14:textId="3FC98F61" w:rsidR="00E61785" w:rsidRDefault="00E61785" w:rsidP="00E61785">
      <w:pPr>
        <w:suppressAutoHyphens w:val="0"/>
        <w:autoSpaceDE w:val="0"/>
        <w:autoSpaceDN w:val="0"/>
        <w:adjustRightInd w:val="0"/>
        <w:spacing w:after="0" w:line="240" w:lineRule="auto"/>
        <w:rPr>
          <w:rFonts w:ascii="Arial" w:hAnsi="Arial" w:cs="Arial"/>
          <w:lang w:val="pt-BR"/>
        </w:rPr>
      </w:pPr>
      <w:r>
        <w:rPr>
          <w:rFonts w:ascii="Arial" w:hAnsi="Arial" w:cs="Arial"/>
          <w:lang w:val="pt-BR"/>
        </w:rPr>
        <w:t>Após a apreciação do relatório, ratifica-se o conceito atribuído pela comissão de avaliação da quadrienal. Não existem informações claras sobre os mecanismos de interação com outras instituições e convênios, assim como faltam informações detalhadas sobre a existência e aplicação. Assim, recomenda-se a manutenção do conceito para o item.</w:t>
      </w:r>
    </w:p>
    <w:p w14:paraId="09F5C9CC" w14:textId="77777777" w:rsidR="00E61785" w:rsidRDefault="00E61785" w:rsidP="00E61785">
      <w:pPr>
        <w:suppressAutoHyphens w:val="0"/>
        <w:autoSpaceDE w:val="0"/>
        <w:autoSpaceDN w:val="0"/>
        <w:adjustRightInd w:val="0"/>
        <w:spacing w:after="0" w:line="240" w:lineRule="auto"/>
        <w:rPr>
          <w:rFonts w:ascii="Arial" w:hAnsi="Arial" w:cs="Arial"/>
          <w:lang w:val="pt-BR"/>
        </w:rPr>
      </w:pPr>
      <w:r>
        <w:rPr>
          <w:rFonts w:ascii="Arial" w:hAnsi="Arial" w:cs="Arial"/>
          <w:lang w:val="pt-BR"/>
        </w:rPr>
        <w:t>1.4</w:t>
      </w:r>
    </w:p>
    <w:p w14:paraId="5FA2AC14" w14:textId="2D763EAD" w:rsidR="00E61785" w:rsidRDefault="00E61785" w:rsidP="00E61785">
      <w:pPr>
        <w:suppressAutoHyphens w:val="0"/>
        <w:autoSpaceDE w:val="0"/>
        <w:autoSpaceDN w:val="0"/>
        <w:adjustRightInd w:val="0"/>
        <w:spacing w:after="0" w:line="240" w:lineRule="auto"/>
        <w:rPr>
          <w:rFonts w:ascii="Arial" w:hAnsi="Arial" w:cs="Arial"/>
          <w:lang w:val="pt-BR"/>
        </w:rPr>
      </w:pPr>
      <w:r>
        <w:rPr>
          <w:rFonts w:ascii="Arial" w:hAnsi="Arial" w:cs="Arial"/>
          <w:lang w:val="pt-BR"/>
        </w:rPr>
        <w:t>Após a apreciação do relatório, ratifica-se o conceito atribuído pela comissão de avaliação da quadrienal. No relatório não há evidências sólidas de planejamento de ações e metas que podem gerar relevância e impacto local, regional e nacional da atuação na formação de seus mestres; e ampliação e/ou consolidação da cooperação tecnológica ou científica relevante e efetiva com outras instituições. Assim, recomenda-se a manutenção do conceito para o item.</w:t>
      </w:r>
    </w:p>
    <w:p w14:paraId="75135D96" w14:textId="77777777" w:rsidR="00E61785" w:rsidRDefault="00E61785" w:rsidP="00E61785">
      <w:pPr>
        <w:suppressAutoHyphens w:val="0"/>
        <w:autoSpaceDE w:val="0"/>
        <w:autoSpaceDN w:val="0"/>
        <w:adjustRightInd w:val="0"/>
        <w:spacing w:after="0" w:line="240" w:lineRule="auto"/>
        <w:rPr>
          <w:rFonts w:ascii="Arial" w:hAnsi="Arial" w:cs="Arial"/>
          <w:lang w:val="pt-BR"/>
        </w:rPr>
      </w:pPr>
    </w:p>
    <w:p w14:paraId="551AFFF6" w14:textId="77777777" w:rsidR="00E61785" w:rsidRPr="003A74CF" w:rsidRDefault="00E61785" w:rsidP="00E61785">
      <w:pPr>
        <w:suppressAutoHyphens w:val="0"/>
        <w:autoSpaceDE w:val="0"/>
        <w:autoSpaceDN w:val="0"/>
        <w:adjustRightInd w:val="0"/>
        <w:spacing w:after="0" w:line="240" w:lineRule="auto"/>
      </w:pPr>
    </w:p>
    <w:sectPr w:rsidR="00E61785" w:rsidRPr="003A74CF">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4B00"/>
    <w:multiLevelType w:val="multilevel"/>
    <w:tmpl w:val="0E16E270"/>
    <w:lvl w:ilvl="0">
      <w:start w:val="1"/>
      <w:numFmt w:val="bullet"/>
      <w:pStyle w:val="Commarcadore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F691BEE"/>
    <w:multiLevelType w:val="multilevel"/>
    <w:tmpl w:val="4BCE8A40"/>
    <w:lvl w:ilvl="0">
      <w:start w:val="1"/>
      <w:numFmt w:val="decimal"/>
      <w:pStyle w:val="Numerada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001661D"/>
    <w:multiLevelType w:val="multilevel"/>
    <w:tmpl w:val="6C1265DE"/>
    <w:lvl w:ilvl="0">
      <w:start w:val="1"/>
      <w:numFmt w:val="decimal"/>
      <w:pStyle w:val="Numerad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DE87F45"/>
    <w:multiLevelType w:val="multilevel"/>
    <w:tmpl w:val="9AD67B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76460AC"/>
    <w:multiLevelType w:val="multilevel"/>
    <w:tmpl w:val="01C42B40"/>
    <w:lvl w:ilvl="0">
      <w:start w:val="1"/>
      <w:numFmt w:val="bullet"/>
      <w:pStyle w:val="Commarcadore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E523320"/>
    <w:multiLevelType w:val="multilevel"/>
    <w:tmpl w:val="16CCF326"/>
    <w:lvl w:ilvl="0">
      <w:start w:val="1"/>
      <w:numFmt w:val="bullet"/>
      <w:pStyle w:val="Commarcadore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6F74DB1"/>
    <w:multiLevelType w:val="multilevel"/>
    <w:tmpl w:val="898E8B10"/>
    <w:lvl w:ilvl="0">
      <w:start w:val="1"/>
      <w:numFmt w:val="decimal"/>
      <w:pStyle w:val="Numerad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615862781">
    <w:abstractNumId w:val="0"/>
  </w:num>
  <w:num w:numId="2" w16cid:durableId="535384919">
    <w:abstractNumId w:val="4"/>
  </w:num>
  <w:num w:numId="3" w16cid:durableId="1433893290">
    <w:abstractNumId w:val="5"/>
  </w:num>
  <w:num w:numId="4" w16cid:durableId="763578383">
    <w:abstractNumId w:val="6"/>
  </w:num>
  <w:num w:numId="5" w16cid:durableId="83959823">
    <w:abstractNumId w:val="2"/>
  </w:num>
  <w:num w:numId="6" w16cid:durableId="228393821">
    <w:abstractNumId w:val="1"/>
  </w:num>
  <w:num w:numId="7" w16cid:durableId="588271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962"/>
    <w:rsid w:val="003227B0"/>
    <w:rsid w:val="003A74CF"/>
    <w:rsid w:val="00924592"/>
    <w:rsid w:val="00CC5962"/>
    <w:rsid w:val="00E6178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E603"/>
  <w15:docId w15:val="{DF38080D-789E-486D-91CB-67B4BE63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E618BF"/>
  </w:style>
  <w:style w:type="character" w:customStyle="1" w:styleId="RodapChar">
    <w:name w:val="Rodapé Char"/>
    <w:basedOn w:val="Fontepargpadro"/>
    <w:link w:val="Rodap"/>
    <w:uiPriority w:val="99"/>
    <w:qFormat/>
    <w:rsid w:val="00E618BF"/>
  </w:style>
  <w:style w:type="character" w:customStyle="1" w:styleId="Ttulo1Char">
    <w:name w:val="Título 1 Char"/>
    <w:basedOn w:val="Fontepargpadro"/>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FC693F"/>
    <w:rPr>
      <w:rFonts w:asciiTheme="majorHAnsi" w:eastAsiaTheme="majorEastAsia" w:hAnsiTheme="majorHAnsi" w:cstheme="majorBidi"/>
      <w:b/>
      <w:bCs/>
      <w:color w:val="4F81BD" w:themeColor="accent1"/>
    </w:rPr>
  </w:style>
  <w:style w:type="character" w:customStyle="1" w:styleId="TtuloChar">
    <w:name w:val="Título Char"/>
    <w:basedOn w:val="Fontepargpadro"/>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har">
    <w:name w:val="Subtítulo Char"/>
    <w:basedOn w:val="Fontepargpadro"/>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orpodetextoChar">
    <w:name w:val="Corpo de texto Char"/>
    <w:basedOn w:val="Fontepargpadro"/>
    <w:link w:val="Corpodetexto"/>
    <w:uiPriority w:val="99"/>
    <w:qFormat/>
    <w:rsid w:val="00AA1D8D"/>
  </w:style>
  <w:style w:type="character" w:customStyle="1" w:styleId="Corpodetexto2Char">
    <w:name w:val="Corpo de texto 2 Char"/>
    <w:basedOn w:val="Fontepargpadro"/>
    <w:link w:val="Corpodetexto2"/>
    <w:uiPriority w:val="99"/>
    <w:qFormat/>
    <w:rsid w:val="00AA1D8D"/>
  </w:style>
  <w:style w:type="character" w:customStyle="1" w:styleId="Corpodetexto3Char">
    <w:name w:val="Corpo de texto 3 Char"/>
    <w:basedOn w:val="Fontepargpadro"/>
    <w:link w:val="Corpodetexto3"/>
    <w:uiPriority w:val="99"/>
    <w:qFormat/>
    <w:rsid w:val="00AA1D8D"/>
    <w:rPr>
      <w:sz w:val="16"/>
      <w:szCs w:val="16"/>
    </w:rPr>
  </w:style>
  <w:style w:type="character" w:customStyle="1" w:styleId="TextodemacroChar">
    <w:name w:val="Texto de macro Char"/>
    <w:basedOn w:val="Fontepargpadro"/>
    <w:link w:val="Textodemacro"/>
    <w:uiPriority w:val="99"/>
    <w:qFormat/>
    <w:rsid w:val="0029639D"/>
    <w:rPr>
      <w:rFonts w:ascii="Courier" w:hAnsi="Courier"/>
      <w:sz w:val="20"/>
      <w:szCs w:val="20"/>
    </w:rPr>
  </w:style>
  <w:style w:type="character" w:customStyle="1" w:styleId="CitaoChar">
    <w:name w:val="Citação Char"/>
    <w:basedOn w:val="Fontepargpadro"/>
    <w:link w:val="Citao"/>
    <w:uiPriority w:val="29"/>
    <w:qFormat/>
    <w:rsid w:val="00FC693F"/>
    <w:rPr>
      <w:i/>
      <w:iCs/>
      <w:color w:val="000000" w:themeColor="text1"/>
    </w:rPr>
  </w:style>
  <w:style w:type="character" w:customStyle="1" w:styleId="Ttulo4Char">
    <w:name w:val="Título 4 Char"/>
    <w:basedOn w:val="Fontepargpadro"/>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character" w:customStyle="1" w:styleId="CitaoIntensaChar">
    <w:name w:val="Citação Intensa Char"/>
    <w:basedOn w:val="Fontepargpadro"/>
    <w:link w:val="CitaoIntensa"/>
    <w:uiPriority w:val="30"/>
    <w:qFormat/>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customStyle="1" w:styleId="Heading">
    <w:name w:val="Heading"/>
    <w:basedOn w:val="Normal"/>
    <w:next w:val="Corpodetexto"/>
    <w:qFormat/>
    <w:pPr>
      <w:keepNext/>
      <w:spacing w:before="240" w:after="120"/>
    </w:pPr>
    <w:rPr>
      <w:rFonts w:ascii="Liberation Sans" w:eastAsia="Noto Sans CJK SC" w:hAnsi="Liberation Sans" w:cs="FreeSans"/>
      <w:sz w:val="28"/>
      <w:szCs w:val="28"/>
    </w:rPr>
  </w:style>
  <w:style w:type="paragraph" w:styleId="Corpodetexto">
    <w:name w:val="Body Text"/>
    <w:basedOn w:val="Normal"/>
    <w:link w:val="CorpodetextoCh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paragraph" w:styleId="SemEspaamento">
    <w:name w:val="No Spacing"/>
    <w:uiPriority w:val="1"/>
    <w:qFormat/>
    <w:rsid w:val="00FC693F"/>
  </w:style>
  <w:style w:type="paragraph" w:styleId="Ttulo">
    <w:name w:val="Title"/>
    <w:basedOn w:val="Normal"/>
    <w:next w:val="Normal"/>
    <w:link w:val="Ttulo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2">
    <w:name w:val="Body Text 2"/>
    <w:basedOn w:val="Normal"/>
    <w:link w:val="Corpodetexto2Char"/>
    <w:uiPriority w:val="99"/>
    <w:unhideWhenUsed/>
    <w:qFormat/>
    <w:rsid w:val="00AA1D8D"/>
    <w:pPr>
      <w:spacing w:after="120" w:line="480" w:lineRule="auto"/>
    </w:pPr>
  </w:style>
  <w:style w:type="paragraph" w:styleId="Corpodetexto3">
    <w:name w:val="Body Text 3"/>
    <w:basedOn w:val="Normal"/>
    <w:link w:val="Corpodetexto3Char"/>
    <w:uiPriority w:val="99"/>
    <w:unhideWhenUsed/>
    <w:qFormat/>
    <w:rsid w:val="00AA1D8D"/>
    <w:pPr>
      <w:spacing w:after="120"/>
    </w:pPr>
    <w:rPr>
      <w:sz w:val="16"/>
      <w:szCs w:val="16"/>
    </w:rPr>
  </w:style>
  <w:style w:type="paragraph" w:styleId="Commarcadores3">
    <w:name w:val="List Bullet 3"/>
    <w:basedOn w:val="Normal"/>
    <w:uiPriority w:val="99"/>
    <w:unhideWhenUsed/>
    <w:qFormat/>
    <w:rsid w:val="00326F90"/>
    <w:pPr>
      <w:numPr>
        <w:numId w:val="3"/>
      </w:numPr>
      <w:contextualSpacing/>
    </w:pPr>
  </w:style>
  <w:style w:type="paragraph" w:styleId="Commarcadores4">
    <w:name w:val="List Bullet 4"/>
    <w:basedOn w:val="Normal"/>
    <w:uiPriority w:val="99"/>
    <w:unhideWhenUsed/>
    <w:rsid w:val="00326F90"/>
    <w:pPr>
      <w:ind w:left="1080" w:hanging="360"/>
      <w:contextualSpacing/>
    </w:pPr>
  </w:style>
  <w:style w:type="paragraph" w:styleId="Commarcadores">
    <w:name w:val="List Bullet"/>
    <w:basedOn w:val="Normal"/>
    <w:uiPriority w:val="99"/>
    <w:unhideWhenUsed/>
    <w:qFormat/>
    <w:rsid w:val="00326F90"/>
    <w:pPr>
      <w:numPr>
        <w:numId w:val="1"/>
      </w:numPr>
      <w:contextualSpacing/>
    </w:pPr>
  </w:style>
  <w:style w:type="paragraph" w:styleId="Commarcadores2">
    <w:name w:val="List Bullet 2"/>
    <w:basedOn w:val="Normal"/>
    <w:uiPriority w:val="99"/>
    <w:unhideWhenUsed/>
    <w:qFormat/>
    <w:rsid w:val="00326F90"/>
    <w:pPr>
      <w:numPr>
        <w:numId w:val="2"/>
      </w:numPr>
      <w:contextualSpacing/>
    </w:pPr>
  </w:style>
  <w:style w:type="paragraph" w:styleId="Numerada">
    <w:name w:val="List Number"/>
    <w:basedOn w:val="Normal"/>
    <w:uiPriority w:val="99"/>
    <w:unhideWhenUsed/>
    <w:qFormat/>
    <w:rsid w:val="00326F90"/>
    <w:pPr>
      <w:numPr>
        <w:numId w:val="4"/>
      </w:numPr>
      <w:contextualSpacing/>
    </w:pPr>
  </w:style>
  <w:style w:type="paragraph" w:styleId="Numerada2">
    <w:name w:val="List Number 2"/>
    <w:basedOn w:val="Normal"/>
    <w:uiPriority w:val="99"/>
    <w:unhideWhenUsed/>
    <w:qFormat/>
    <w:rsid w:val="0029639D"/>
    <w:pPr>
      <w:numPr>
        <w:numId w:val="5"/>
      </w:numPr>
      <w:contextualSpacing/>
    </w:pPr>
  </w:style>
  <w:style w:type="paragraph" w:styleId="Numerada3">
    <w:name w:val="List Number 3"/>
    <w:basedOn w:val="Normal"/>
    <w:uiPriority w:val="99"/>
    <w:unhideWhenUsed/>
    <w:qFormat/>
    <w:rsid w:val="0029639D"/>
    <w:pPr>
      <w:numPr>
        <w:numId w:val="6"/>
      </w:numPr>
      <w:contextualSpacing/>
    </w:pPr>
  </w:style>
  <w:style w:type="paragraph" w:styleId="Listadecontinuao">
    <w:name w:val="List Continue"/>
    <w:basedOn w:val="Normal"/>
    <w:uiPriority w:val="99"/>
    <w:unhideWhenUsed/>
    <w:qFormat/>
    <w:rsid w:val="0029639D"/>
    <w:pPr>
      <w:spacing w:after="120"/>
      <w:ind w:left="360"/>
      <w:contextualSpacing/>
    </w:pPr>
  </w:style>
  <w:style w:type="paragraph" w:styleId="Listadecontinuao2">
    <w:name w:val="List Continue 2"/>
    <w:basedOn w:val="Normal"/>
    <w:uiPriority w:val="99"/>
    <w:unhideWhenUsed/>
    <w:qFormat/>
    <w:rsid w:val="0029639D"/>
    <w:pPr>
      <w:spacing w:after="120"/>
      <w:ind w:left="720"/>
      <w:contextualSpacing/>
    </w:pPr>
  </w:style>
  <w:style w:type="paragraph" w:styleId="Listadecontinuao3">
    <w:name w:val="List Continue 3"/>
    <w:basedOn w:val="Normal"/>
    <w:uiPriority w:val="99"/>
    <w:unhideWhenUsed/>
    <w:qFormat/>
    <w:rsid w:val="0029639D"/>
    <w:pPr>
      <w:spacing w:after="120"/>
      <w:ind w:left="1080"/>
      <w:contextualSpacing/>
    </w:pPr>
  </w:style>
  <w:style w:type="paragraph" w:styleId="Textodemacro">
    <w:name w:val="macro"/>
    <w:link w:val="Textodemacro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paragraph" w:styleId="CitaoIntensa">
    <w:name w:val="Intense Quote"/>
    <w:basedOn w:val="Normal"/>
    <w:next w:val="Normal"/>
    <w:link w:val="CitaoIntensaChar"/>
    <w:uiPriority w:val="30"/>
    <w:qFormat/>
    <w:rsid w:val="00FC693F"/>
    <w:pPr>
      <w:pBdr>
        <w:bottom w:val="single" w:sz="4" w:space="4" w:color="4F81BD"/>
      </w:pBdr>
      <w:spacing w:before="200" w:after="280"/>
      <w:ind w:left="936" w:right="936"/>
    </w:pPr>
    <w:rPr>
      <w:b/>
      <w:bCs/>
      <w:i/>
      <w:iCs/>
      <w:color w:val="4F81BD" w:themeColor="accent1"/>
    </w:rPr>
  </w:style>
  <w:style w:type="paragraph" w:styleId="Ttulodendiceremissivo">
    <w:name w:val="index heading"/>
    <w:basedOn w:val="Heading"/>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647</Words>
  <Characters>3498</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Renato Machado de Godoy</cp:lastModifiedBy>
  <cp:revision>6</cp:revision>
  <dcterms:created xsi:type="dcterms:W3CDTF">2013-12-23T23:15:00Z</dcterms:created>
  <dcterms:modified xsi:type="dcterms:W3CDTF">2023-06-15T13:14:00Z</dcterms:modified>
  <dc:language>pt-BR</dc:language>
</cp:coreProperties>
</file>