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250A" w14:textId="15FDB224" w:rsidR="008B76E1" w:rsidRDefault="008B76E1" w:rsidP="008B76E1">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O PPG é constituído por 11 docentes permanentes, 1 colaborador e 1 visitante docentes, na média do quadriênio. Todos os docentes do PPG são doutores com formação alinhada ao escopo do Programa. Quatro docentes não possuem orientação concluída. No quadriênio, os docentes permanentes que participam de outros PPGs, estão dentro do limite definido pela área (até 3 programas). Todos os DP possuem vínculo de 40h com a IES, atendendo à portaria Capes nº 81/2017. O perfil do corpo docente em termos de experiência acadêmica e</w:t>
      </w:r>
    </w:p>
    <w:p w14:paraId="218CE7AF" w14:textId="4D5D15EC" w:rsidR="008B76E1" w:rsidRDefault="008B76E1" w:rsidP="008B76E1">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profissional é alinhado à proposta de formação discente. O programa atingiu conceito bom na média proporcional do quadriênio (entre 70% a 85%) e conceito muito bom na estabilidade do corpo docente (acima de 75%). Assim, o perfil do corpo docente, considerando experiência como pesquisador e/ou profissional, titulação e sua adequação à Proposta do Programa (item 2.1), resultou no conceito bom.</w:t>
      </w:r>
    </w:p>
    <w:p w14:paraId="357731F2" w14:textId="178FD143" w:rsidR="008B76E1" w:rsidRDefault="008B76E1" w:rsidP="008B76E1">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No que se refere ao mínimo de 60 horas-aula no PPG por docente permanente, o programa atingiu conceito muito bom para os parâmetros da área (acima de 85%). A estabilidade do corpo docente permanente alcançou o conceito muito bom para os parâmetros da área (acima de 75%). Assim, no que diz respeito à adequação da dimensão, composição e dedicação dos docentes permanentes para o desenvolvimento das atividades de pesquisa e formação do Programa (item 2.2), o PPG atingiu o conceito muito bom.</w:t>
      </w:r>
    </w:p>
    <w:p w14:paraId="11C1D97A" w14:textId="3CA4BBBF" w:rsidR="00047630" w:rsidRPr="008B76E1" w:rsidRDefault="008B76E1" w:rsidP="008B76E1">
      <w:pPr>
        <w:suppressAutoHyphens w:val="0"/>
        <w:autoSpaceDE w:val="0"/>
        <w:autoSpaceDN w:val="0"/>
        <w:adjustRightInd w:val="0"/>
        <w:spacing w:after="0" w:line="240" w:lineRule="auto"/>
      </w:pPr>
      <w:r>
        <w:rPr>
          <w:rFonts w:ascii="Arial" w:hAnsi="Arial" w:cs="Arial"/>
          <w:sz w:val="20"/>
          <w:szCs w:val="20"/>
          <w:lang w:val="pt-BR"/>
        </w:rPr>
        <w:t>Verificou-se que no item projetos de pesquisa, desenvolvimento e inovação em organizações públicas ou privadas com financiamento externo à instituição, o PPG alcançou o conceito regular para os parâmetros da área (entre 5% e 30%). Referente ao coeficiente de variação das distribuições anuais das orientações entre os docentes permanentes, o programa atingiu o conceito bom, conforme os parâmetros da área (entre 0,65 e 0,90). Dessa forma, a distribuição das atividades de pesquisa, projetos de desenvolvimento e inovação e de formação entre os docentes do Programa (item 2.3) culminou no conceito regular.</w:t>
      </w:r>
    </w:p>
    <w:sectPr w:rsidR="00047630" w:rsidRPr="008B76E1">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4BE"/>
    <w:multiLevelType w:val="multilevel"/>
    <w:tmpl w:val="FF0863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415DD4"/>
    <w:multiLevelType w:val="multilevel"/>
    <w:tmpl w:val="8DDCC824"/>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987620"/>
    <w:multiLevelType w:val="multilevel"/>
    <w:tmpl w:val="F90840B8"/>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162697C"/>
    <w:multiLevelType w:val="multilevel"/>
    <w:tmpl w:val="E994922A"/>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226656"/>
    <w:multiLevelType w:val="multilevel"/>
    <w:tmpl w:val="7E1452EA"/>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7114DCC"/>
    <w:multiLevelType w:val="multilevel"/>
    <w:tmpl w:val="A5623AE0"/>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BDF6D73"/>
    <w:multiLevelType w:val="multilevel"/>
    <w:tmpl w:val="54604C86"/>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78565942">
    <w:abstractNumId w:val="3"/>
  </w:num>
  <w:num w:numId="2" w16cid:durableId="1242714971">
    <w:abstractNumId w:val="6"/>
  </w:num>
  <w:num w:numId="3" w16cid:durableId="1457337840">
    <w:abstractNumId w:val="4"/>
  </w:num>
  <w:num w:numId="4" w16cid:durableId="1718626489">
    <w:abstractNumId w:val="2"/>
  </w:num>
  <w:num w:numId="5" w16cid:durableId="1228997930">
    <w:abstractNumId w:val="1"/>
  </w:num>
  <w:num w:numId="6" w16cid:durableId="294603553">
    <w:abstractNumId w:val="5"/>
  </w:num>
  <w:num w:numId="7" w16cid:durableId="203661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630"/>
    <w:rsid w:val="0001773F"/>
    <w:rsid w:val="00047630"/>
    <w:rsid w:val="008B76E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63C0"/>
  <w15:docId w15:val="{37164C4B-8E4C-4E7C-B865-C12C205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315</Words>
  <Characters>1703</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4</cp:revision>
  <dcterms:created xsi:type="dcterms:W3CDTF">2013-12-23T23:15:00Z</dcterms:created>
  <dcterms:modified xsi:type="dcterms:W3CDTF">2023-06-15T13:06:00Z</dcterms:modified>
  <dc:language>pt-BR</dc:language>
</cp:coreProperties>
</file>