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8.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5861877d2eace808ff0f8e99587d570047ded1"/>
    <w:p>
      <w:pPr>
        <w:pStyle w:val="Heading1"/>
      </w:pPr>
      <w:r>
        <w:t xml:space="preserve">European CMO Unidentified Works Registry: Compliance Mapping Report</w:t>
      </w:r>
    </w:p>
    <w:p>
      <w:pPr>
        <w:pStyle w:val="FirstParagraph"/>
      </w:pPr>
      <w:r>
        <w:rPr>
          <w:iCs/>
          <w:i/>
        </w:rPr>
        <w:t xml:space="preserve">Research Date: June 2026 | Rev. 2 — Corrected Edition</w:t>
      </w:r>
    </w:p>
    <w:p>
      <w:pPr>
        <w:pStyle w:val="BlockText"/>
      </w:pPr>
      <w:r>
        <w:rPr>
          <w:bCs/>
          <w:b/>
        </w:rPr>
        <w:t xml:space="preserve">Errata</w:t>
      </w:r>
      <w:r>
        <w:t xml:space="preserve">: This revised edition corrects three CMO classifications discovered during post-publication verification:</w:t>
      </w:r>
      <w:r>
        <w:t xml:space="preserve"> </w:t>
      </w:r>
      <w:r>
        <w:t xml:space="preserve">- AKM (Austria): corrected from</w:t>
      </w:r>
      <w:r>
        <w:t xml:space="preserve"> </w:t>
      </w:r>
      <w:r>
        <w:t xml:space="preserve">‘</w:t>
      </w:r>
      <w:r>
        <w:t xml:space="preserve">None</w:t>
      </w:r>
      <w:r>
        <w:t xml:space="preserve">’</w:t>
      </w:r>
      <w:r>
        <w:t xml:space="preserve"> </w:t>
      </w:r>
      <w:r>
        <w:t xml:space="preserve">to</w:t>
      </w:r>
      <w:r>
        <w:t xml:space="preserve"> </w:t>
      </w:r>
      <w:r>
        <w:t xml:space="preserve">‘</w:t>
      </w:r>
      <w:r>
        <w:t xml:space="preserve">Formal</w:t>
      </w:r>
      <w:r>
        <w:t xml:space="preserve">’</w:t>
      </w:r>
      <w:r>
        <w:t xml:space="preserve"> </w:t>
      </w:r>
      <w:r>
        <w:t xml:space="preserve">— public PDF list exists</w:t>
      </w:r>
      <w:r>
        <w:t xml:space="preserve"> </w:t>
      </w:r>
      <w:r>
        <w:t xml:space="preserve">- EJI (Hungary): corrected from</w:t>
      </w:r>
      <w:r>
        <w:t xml:space="preserve"> </w:t>
      </w:r>
      <w:r>
        <w:t xml:space="preserve">‘</w:t>
      </w:r>
      <w:r>
        <w:t xml:space="preserve">None</w:t>
      </w:r>
      <w:r>
        <w:t xml:space="preserve">’</w:t>
      </w:r>
      <w:r>
        <w:t xml:space="preserve"> </w:t>
      </w:r>
      <w:r>
        <w:t xml:space="preserve">to</w:t>
      </w:r>
      <w:r>
        <w:t xml:space="preserve"> </w:t>
      </w:r>
      <w:r>
        <w:t xml:space="preserve">‘</w:t>
      </w:r>
      <w:r>
        <w:t xml:space="preserve">Substantive</w:t>
      </w:r>
      <w:r>
        <w:t xml:space="preserve">’</w:t>
      </w:r>
      <w:r>
        <w:t xml:space="preserve"> </w:t>
      </w:r>
      <w:r>
        <w:t xml:space="preserve">— public search tool exists</w:t>
      </w:r>
      <w:r>
        <w:t xml:space="preserve"> </w:t>
      </w:r>
      <w:r>
        <w:t xml:space="preserve">- EEL (Estonia): confirmed</w:t>
      </w:r>
      <w:r>
        <w:t xml:space="preserve"> </w:t>
      </w:r>
      <w:r>
        <w:t xml:space="preserve">‘</w:t>
      </w:r>
      <w:r>
        <w:t xml:space="preserve">Substantive</w:t>
      </w:r>
      <w:r>
        <w:t xml:space="preserve">’</w:t>
      </w:r>
      <w:r>
        <w:t xml:space="preserve"> </w:t>
      </w:r>
      <w:r>
        <w:t xml:space="preserve">— Excel list exists</w:t>
      </w:r>
    </w:p>
    <w:p>
      <w:r>
        <w:pict>
          <v:rect style="width:0;height:1.5pt" o:hralign="center" o:hrstd="t" o:hr="t"/>
        </w:pict>
      </w:r>
    </w:p>
    <w:bookmarkEnd w:id="20"/>
    <w:bookmarkStart w:id="21" w:name="executive-summary"/>
    <w:p>
      <w:pPr>
        <w:pStyle w:val="Heading1"/>
      </w:pPr>
      <w:r>
        <w:t xml:space="preserve">Executive Summary</w:t>
      </w:r>
    </w:p>
    <w:p>
      <w:pPr>
        <w:pStyle w:val="FirstParagraph"/>
      </w:pPr>
      <w:r>
        <w:t xml:space="preserve">This report presents the first comprehensive empirical assessment of how European Collective Management Organisations (CMOs) comply with Article 13 of Directive 2014/26/EU — the obligation to publish publicly accessible registries of unidentified works and undistributable royalties. Covering 62 CMOs across 31 jurisdictions (27 EU Member States, 3 EEA countries, and Switzerland), the research maps what CMOs publish, how they publish it, and where the framework fails the creators it was designed to protect.</w:t>
      </w:r>
    </w:p>
    <w:p>
      <w:pPr>
        <w:pStyle w:val="BodyText"/>
      </w:pPr>
      <w:r>
        <w:rPr>
          <w:bCs/>
          <w:b/>
        </w:rPr>
        <w:t xml:space="preserve">Only approximately 30% of European CMOs maintain publicly accessible unidentified works registries.</w:t>
      </w:r>
      <w:r>
        <w:t xml:space="preserve"> </w:t>
      </w:r>
      <w:r>
        <w:t xml:space="preserve">Of the 62 CMOs examined, roughly 18 publish registries — interactive web searches, downloadable spreadsheets, or indexed PDF lists — that an unidentified rightsholder could realistically use to locate and claim their work.</w:t>
      </w:r>
      <w:r>
        <w:t xml:space="preserve"> </w:t>
      </w:r>
      <w:r>
        <w:rPr>
          <w:vertAlign w:val="superscript"/>
        </w:rPr>
        <w:footnoteReference w:id="1"/>
      </w:r>
      <w:r>
        <w:t xml:space="preserve">The remaining 44 CMOs either restrict access to members-only portals, publish policy documents without actionable data, or offer no discoverable registry at all.</w:t>
      </w:r>
      <w:r>
        <w:t xml:space="preserve"> </w:t>
      </w:r>
      <w:fldSimple w:instr="NOTEREF _Ref_Footnote_1 \h \f">
        <w:r>
          <w:rPr>
            <w:vertAlign w:val="superscript"/>
          </w:rPr>
          <w:t>1</w:t>
        </w:r>
      </w:fldSimple>
      <w:r>
        <w:t xml:space="preserve">Article 13(3) of the CRM Directive imposes an unqualified duty to</w:t>
      </w:r>
      <w:r>
        <w:t xml:space="preserve"> </w:t>
      </w:r>
      <w:r>
        <w:t xml:space="preserve">“</w:t>
      </w:r>
      <w:r>
        <w:t xml:space="preserve">make that information available to the public</w:t>
      </w:r>
      <w:r>
        <w:t xml:space="preserve">”</w:t>
      </w:r>
      <w:r>
        <w:t xml:space="preserve"> </w:t>
      </w:r>
      <w:r>
        <w:t xml:space="preserve">— a requirement binding across the EU since April 2016.</w:t>
      </w:r>
      <w:r>
        <w:t xml:space="preserve"> </w:t>
      </w:r>
      <w:r>
        <w:rPr>
          <w:vertAlign w:val="superscript"/>
        </w:rPr>
        <w:footnoteReference w:id="2"/>
      </w:r>
      <w:r>
        <w:rPr>
          <w:bCs/>
          <w:b/>
        </w:rPr>
        <w:t xml:space="preserve">Central and Eastern European (CEE) CMOs outperform Western European counterparts — a compliance paradox.</w:t>
      </w:r>
      <w:r>
        <w:t xml:space="preserve"> </w:t>
      </w:r>
      <w:r>
        <w:t xml:space="preserve">Six of 13 CMOs in the CEE cluster publish public registries, including UCMR-ADA (Romania) with monthly PDFs dating to 2018</w:t>
      </w:r>
      <w:r>
        <w:t xml:space="preserve"> </w:t>
      </w:r>
      <w:r>
        <w:rPr>
          <w:vertAlign w:val="superscript"/>
        </w:rPr>
        <w:footnoteReference w:id="3"/>
      </w:r>
      <w:r>
        <w:t xml:space="preserve">, HDS-ZAMP (Croatia) with downloadable Excel files</w:t>
      </w:r>
      <w:r>
        <w:t xml:space="preserve"> </w:t>
      </w:r>
      <w:r>
        <w:rPr>
          <w:vertAlign w:val="superscript"/>
        </w:rPr>
        <w:footnoteReference w:id="4"/>
      </w:r>
      <w:r>
        <w:t xml:space="preserve">, and SOZA (Slovakia) with annual snapshots.</w:t>
      </w:r>
      <w:r>
        <w:t xml:space="preserve"> </w:t>
      </w:r>
      <w:r>
        <w:rPr>
          <w:vertAlign w:val="superscript"/>
        </w:rPr>
        <w:footnoteReference w:id="5"/>
      </w:r>
      <w:r>
        <w:t xml:space="preserve">Zero of 13 CMOs in a comparable Western European cluster (Austria, Belgium, Portugal, Greece, Luxembourg, Malta, Cyprus) publish any public registry.</w:t>
      </w:r>
      <w:r>
        <w:t xml:space="preserve"> </w:t>
      </w:r>
      <w:fldSimple w:instr="NOTEREF _Ref_Footnote_1 \h \f">
        <w:r>
          <w:rPr>
            <w:vertAlign w:val="superscript"/>
          </w:rPr>
          <w:t>1</w:t>
        </w:r>
      </w:fldSimple>
      <w:r>
        <w:t xml:space="preserve">Romania’s UCMR-ADA (EUR 41 million collections) achieves more granular transparency than Germany’s GEMA (EUR 1,332 million), which restricts its tool to logged-in members.</w:t>
      </w:r>
      <w:r>
        <w:t xml:space="preserve"> </w:t>
      </w:r>
      <w:r>
        <w:rPr>
          <w:vertAlign w:val="superscript"/>
        </w:rPr>
        <w:footnoteReference w:id="6"/>
      </w:r>
      <w:r>
        <w:t xml:space="preserve">Post-communist CMOs, restructured with modern IT systems and shaped by EU accession conditionality, have built transparency into their operational culture; Western CMOs with far greater resources have not.</w:t>
      </w:r>
      <w:r>
        <w:t xml:space="preserve"> </w:t>
      </w:r>
      <w:r>
        <w:rPr>
          <w:vertAlign w:val="superscript"/>
        </w:rPr>
        <w:footnoteReference w:id="7"/>
      </w:r>
      <w:r>
        <w:rPr>
          <w:bCs/>
          <w:b/>
        </w:rPr>
        <w:t xml:space="preserve">Neighbouring rights CMOs systematically lag behind author rights CMOs across all metrics.</w:t>
      </w:r>
      <w:r>
        <w:t xml:space="preserve"> </w:t>
      </w:r>
      <w:r>
        <w:t xml:space="preserve">Approximately 55% of author rights CMOs publish a public unidentified works list, compared with only 30% of neighbouring rights CMOs — a 25 percentage-point gap.</w:t>
      </w:r>
      <w:r>
        <w:t xml:space="preserve"> </w:t>
      </w:r>
      <w:r>
        <w:rPr>
          <w:vertAlign w:val="superscript"/>
        </w:rPr>
        <w:footnoteReference w:id="8"/>
      </w:r>
      <w:r>
        <w:t xml:space="preserve">Only Romania and Sweden have both CMO types publishing public registries.</w:t>
      </w:r>
      <w:r>
        <w:t xml:space="preserve"> </w:t>
      </w:r>
      <w:r>
        <w:rPr>
          <w:vertAlign w:val="superscript"/>
        </w:rPr>
        <w:footnoteReference w:id="9"/>
      </w:r>
      <w:r>
        <w:t xml:space="preserve">This disparity reflects deeper structural inequality: ICE, Europe’s most advanced copyright processing hub, handles exclusively authors’ rights</w:t>
      </w:r>
      <w:r>
        <w:t xml:space="preserve"> </w:t>
      </w:r>
      <w:r>
        <w:rPr>
          <w:vertAlign w:val="superscript"/>
        </w:rPr>
        <w:footnoteReference w:id="10"/>
      </w:r>
      <w:r>
        <w:t xml:space="preserve">; ISWC adoption stands at 87% while performer identifiers (IPN/ISNI) range from only 7% to 73%</w:t>
      </w:r>
      <w:r>
        <w:t xml:space="preserve"> </w:t>
      </w:r>
      <w:fldSimple w:instr="NOTEREF _Ref_Footnote_8 \h \f">
        <w:r>
          <w:rPr>
            <w:vertAlign w:val="superscript"/>
          </w:rPr>
          <w:t>8</w:t>
        </w:r>
      </w:fldSimple>
      <w:r>
        <w:t xml:space="preserve">. Session musicians, backing vocalists, and classical performers — often the most vulnerable creators — face the greatest barriers to claiming their royalties.</w:t>
      </w:r>
    </w:p>
    <w:p>
      <w:pPr>
        <w:pStyle w:val="BodyText"/>
      </w:pPr>
      <w:r>
        <w:rPr>
          <w:bCs/>
          <w:b/>
        </w:rPr>
        <w:t xml:space="preserve">No enforcement of Article 13 exists anywhere in the EU or EEA — the requirement is effectively a</w:t>
      </w:r>
      <w:r>
        <w:rPr>
          <w:bCs/>
          <w:b/>
        </w:rPr>
        <w:t xml:space="preserve"> </w:t>
      </w:r>
      <w:r>
        <w:rPr>
          <w:bCs/>
          <w:b/>
        </w:rPr>
        <w:t xml:space="preserve">“</w:t>
      </w:r>
      <w:r>
        <w:rPr>
          <w:bCs/>
          <w:b/>
        </w:rPr>
        <w:t xml:space="preserve">dead letter.</w:t>
      </w:r>
      <w:r>
        <w:rPr>
          <w:bCs/>
          <w:b/>
        </w:rPr>
        <w:t xml:space="preserve">”</w:t>
      </w:r>
      <w:r>
        <w:t xml:space="preserve"> </w:t>
      </w:r>
      <w:r>
        <w:t xml:space="preserve">Zero CMOs have been sanctioned for non-compliance. Zero CJEU rulings have interpreted Article 13(3). Zero national competent authorities have issued guidance on what constitutes adequate format, searchability, or language accessibility.</w:t>
      </w:r>
      <w:r>
        <w:t xml:space="preserve"> </w:t>
      </w:r>
      <w:fldSimple w:instr="NOTEREF _Ref_Footnote_7 \h \f">
        <w:r>
          <w:rPr>
            <w:vertAlign w:val="superscript"/>
          </w:rPr>
          <w:t>7</w:t>
        </w:r>
      </w:fldSimple>
      <w:r>
        <w:t xml:space="preserve"> </w:t>
      </w:r>
      <w:r>
        <w:rPr>
          <w:vertAlign w:val="superscript"/>
        </w:rPr>
        <w:footnoteReference w:id="11"/>
      </w:r>
      <w:r>
        <w:t xml:space="preserve">The Commission’s 2021 implementation report did not assess Article 13 compliance at all.</w:t>
      </w:r>
      <w:r>
        <w:t xml:space="preserve"> </w:t>
      </w:r>
      <w:fldSimple w:instr="NOTEREF _Ref_Footnote_11 \h \f">
        <w:r>
          <w:rPr>
            <w:vertAlign w:val="superscript"/>
          </w:rPr>
          <w:t>11</w:t>
        </w:r>
      </w:fldSimple>
      <w:r>
        <w:t xml:space="preserve">The same report found that 17% of national authorities do not verify compliance with Title III requirements and only 2 of 22 had ever used cross-border notification procedures.</w:t>
      </w:r>
      <w:r>
        <w:t xml:space="preserve"> </w:t>
      </w:r>
      <w:r>
        <w:rPr>
          <w:vertAlign w:val="superscript"/>
        </w:rPr>
        <w:footnoteReference w:id="12"/>
      </w:r>
      <w:r>
        <w:t xml:space="preserve">Switzerland — not bound by the Directive — offers a stark contrast: its Federal Institute of Intellectual Property actively supervises CMOs with graduated sanctions including authorisation revocation.</w:t>
      </w:r>
      <w:r>
        <w:t xml:space="preserve"> </w:t>
      </w:r>
      <w:r>
        <w:rPr>
          <w:vertAlign w:val="superscript"/>
        </w:rPr>
        <w:footnoteReference w:id="13"/>
      </w:r>
      <w:r>
        <w:rPr>
          <w:bCs/>
          <w:b/>
        </w:rPr>
        <w:t xml:space="preserve">Centralised processing hubs create an accountability vacuum for the majority of digital music streams.</w:t>
      </w:r>
      <w:r>
        <w:t xml:space="preserve"> </w:t>
      </w:r>
      <w:r>
        <w:t xml:space="preserve">ICE Services processes 55 million works across 250+ territories, distributing more than EUR 5 billion since 2016</w:t>
      </w:r>
      <w:r>
        <w:t xml:space="preserve"> </w:t>
      </w:r>
      <w:fldSimple w:instr="NOTEREF _Ref_Footnote_10 \h \f">
        <w:r>
          <w:rPr>
            <w:vertAlign w:val="superscript"/>
          </w:rPr>
          <w:t>10</w:t>
        </w:r>
      </w:fldSimple>
      <w:r>
        <w:t xml:space="preserve"> </w:t>
      </w:r>
      <w:r>
        <w:rPr>
          <w:vertAlign w:val="superscript"/>
        </w:rPr>
        <w:footnoteReference w:id="14"/>
      </w:r>
      <w:r>
        <w:t xml:space="preserve">, yet it has no legal obligation under Article 13 and publishes no unidentified works data. The Directive was written for a pre-streaming era when CMOs processed domestic usage directly; it does not cover service providers that functionally act as CMOs at scale. As more national CMOs channel their online licensing through ICE — with Teosto (Finland), TONO (Norway), and STEF (Iceland) joining from January 2026</w:t>
      </w:r>
      <w:r>
        <w:t xml:space="preserve"> </w:t>
      </w:r>
      <w:r>
        <w:rPr>
          <w:vertAlign w:val="superscript"/>
        </w:rPr>
        <w:footnoteReference w:id="15"/>
      </w:r>
      <w:r>
        <w:t xml:space="preserve">— the share of European streams flowing through a transparency-free system continues to grow. National CMOs remain legally responsible but receive data back from ICE in aggregated form that makes republication difficult.</w:t>
      </w:r>
    </w:p>
    <w:p>
      <w:pPr>
        <w:pStyle w:val="BodyText"/>
      </w:pPr>
      <w:r>
        <w:t xml:space="preserve">Beyond these five core findings, the research identifies three additional barriers.</w:t>
      </w:r>
      <w:r>
        <w:t xml:space="preserve"> </w:t>
      </w:r>
      <w:r>
        <w:rPr>
          <w:bCs/>
          <w:b/>
        </w:rPr>
        <w:t xml:space="preserve">Language</w:t>
      </w:r>
      <w:r>
        <w:t xml:space="preserve">: 56% of available registries are local-language only, fragmenting the EU internal market for music rights at the identification stage.</w:t>
      </w:r>
      <w:r>
        <w:t xml:space="preserve"> </w:t>
      </w:r>
      <w:fldSimple w:instr="NOTEREF _Ref_Footnote_1 \h \f">
        <w:r>
          <w:rPr>
            <w:vertAlign w:val="superscript"/>
          </w:rPr>
          <w:t>1</w:t>
        </w:r>
      </w:fldSimple>
      <w:r>
        <w:rPr>
          <w:bCs/>
          <w:b/>
        </w:rPr>
        <w:t xml:space="preserve">Format</w:t>
      </w:r>
      <w:r>
        <w:t xml:space="preserve">: no European CMO offers a public API, and the DDEX BWARM standard — which includes a data structure for unclaimed shares — has zero uptake.</w:t>
      </w:r>
      <w:r>
        <w:t xml:space="preserve"> </w:t>
      </w:r>
      <w:r>
        <w:rPr>
          <w:vertAlign w:val="superscript"/>
        </w:rPr>
        <w:footnoteReference w:id="16"/>
      </w:r>
      <w:r>
        <w:rPr>
          <w:bCs/>
          <w:b/>
        </w:rPr>
        <w:t xml:space="preserve">Wealth transfer</w:t>
      </w:r>
      <w:r>
        <w:t xml:space="preserve">: the three-year reversion rule under Article 13(4) channels unclaimed funds to existing members or social funds, creating a structural conflict of interest estimated at EUR 100–300 million annually across Europe.</w:t>
      </w:r>
      <w:r>
        <w:t xml:space="preserve"> </w:t>
      </w:r>
      <w:r>
        <w:rPr>
          <w:vertAlign w:val="superscript"/>
        </w:rPr>
        <w:footnoteReference w:id="17"/>
      </w:r>
      <w:r>
        <w:t xml:space="preserve"> </w:t>
      </w:r>
      <w:fldSimple w:instr="NOTEREF _Ref_Footnote_6 \h \f">
        <w:r>
          <w:rPr>
            <w:vertAlign w:val="superscript"/>
          </w:rPr>
          <w:t>6</w:t>
        </w:r>
      </w:fldSimple>
      <w:r>
        <w:t xml:space="preserve">The evidence points to a clear conclusion: the EU does not need new legislation. It needs enforcement of existing law, closure of the hub-sized regulatory loophole, and minimum standards for format and accessibility. The models already exist — from SACEM’s ONI portal in France to ZAiKS’s bilingual search in Poland to UCMR-ADA’s monthly publication in Romania. What is absent is the regulatory will to require all CMOs to meet the standard the Directive already demands.</w:t>
      </w:r>
    </w:p>
    <w:p>
      <w:r>
        <w:pict>
          <v:rect style="width:0;height:1.5pt" o:hralign="center" o:hrstd="t" o:hr="t"/>
        </w:pict>
      </w:r>
    </w:p>
    <w:bookmarkEnd w:id="21"/>
    <w:bookmarkStart w:id="99" w:name="legal-framework-and-research-methodology"/>
    <w:p>
      <w:pPr>
        <w:pStyle w:val="Heading1"/>
      </w:pPr>
      <w:r>
        <w:t xml:space="preserve">1. Legal Framework and Research Methodology</w:t>
      </w:r>
    </w:p>
    <w:bookmarkStart w:id="25" w:name="article-13-of-directive-201426eu"/>
    <w:p>
      <w:pPr>
        <w:pStyle w:val="Heading2"/>
      </w:pPr>
      <w:r>
        <w:t xml:space="preserve">1.1 Article 13 of Directive 2014/26/EU</w:t>
      </w:r>
    </w:p>
    <w:bookmarkStart w:id="22" w:name="X80d95ced2f1587122f0d8b938cf23e8f5164216"/>
    <w:p>
      <w:pPr>
        <w:pStyle w:val="Heading3"/>
      </w:pPr>
      <w:r>
        <w:t xml:space="preserve">1.1.1 Core Obligation: Public Availability of Unidentified Rightholder Information</w:t>
      </w:r>
    </w:p>
    <w:p>
      <w:pPr>
        <w:pStyle w:val="FirstParagraph"/>
      </w:pPr>
      <w:r>
        <w:t xml:space="preserve">Directive 2014/26/EU — the Collective Rights Management (CRM) Directive — establishes the legal architecture governing how European Collective Management Organisations (CMOs) must handle royalties they cannot distribute because the rightsholder cannot be identified or located. Article 13, titled</w:t>
      </w:r>
      <w:r>
        <w:t xml:space="preserve"> </w:t>
      </w:r>
      <w:r>
        <w:t xml:space="preserve">“</w:t>
      </w:r>
      <w:r>
        <w:t xml:space="preserve">Distribution of amounts due to rightholders,</w:t>
      </w:r>
      <w:r>
        <w:t xml:space="preserve">”</w:t>
      </w:r>
      <w:r>
        <w:t xml:space="preserve"> </w:t>
      </w:r>
      <w:r>
        <w:t xml:space="preserve">sets out a graduated timeline of obligations that binds every CMO operating within the European Union.</w:t>
      </w:r>
      <w:r>
        <w:t xml:space="preserve"> </w:t>
      </w:r>
      <w:fldSimple w:instr="NOTEREF _Ref_Footnote_2 \h \f">
        <w:r>
          <w:rPr>
            <w:vertAlign w:val="superscript"/>
          </w:rPr>
          <w:t>2</w:t>
        </w:r>
      </w:fldSimple>
      <w:r>
        <w:t xml:space="preserve">The obligation cascade begins with Article 13(1), which requires CMOs to distribute amounts due to rightholders within</w:t>
      </w:r>
      <w:r>
        <w:t xml:space="preserve"> </w:t>
      </w:r>
      <w:r>
        <w:rPr>
          <w:bCs/>
          <w:b/>
        </w:rPr>
        <w:t xml:space="preserve">nine months</w:t>
      </w:r>
      <w:r>
        <w:t xml:space="preserve"> </w:t>
      </w:r>
      <w:r>
        <w:t xml:space="preserve">from the end of the financial year in which the rights revenue was collected, unless objective reasons (such as delays in receiving usage reports from licensees) prevent this. Where distribution is impossible because a rightholder cannot be identified or located, Article 13(2) mandates that those amounts be</w:t>
      </w:r>
      <w:r>
        <w:t xml:space="preserve"> </w:t>
      </w:r>
      <w:r>
        <w:rPr>
          <w:bCs/>
          <w:b/>
        </w:rPr>
        <w:t xml:space="preserve">kept separate in the CMO’s accounts</w:t>
      </w:r>
      <w:r>
        <w:t xml:space="preserve">, preventing their commingling with distributable funds or diversion to operating expenses. This separation requirement is foundational to the accountability framework; it prevents the incremental erosion of undistributed funds through administrative charges or cross-subsidies.</w:t>
      </w:r>
    </w:p>
    <w:p>
      <w:pPr>
        <w:pStyle w:val="BodyText"/>
      </w:pPr>
      <w:r>
        <w:t xml:space="preserve">Article 13(3) contains the Directive’s most consequential provision for this study. It imposes a positive duty on CMOs to take</w:t>
      </w:r>
      <w:r>
        <w:t xml:space="preserve"> </w:t>
      </w:r>
      <w:r>
        <w:t xml:space="preserve">“</w:t>
      </w:r>
      <w:r>
        <w:t xml:space="preserve">all necessary measures</w:t>
      </w:r>
      <w:r>
        <w:t xml:space="preserve">”</w:t>
      </w:r>
      <w:r>
        <w:t xml:space="preserve"> </w:t>
      </w:r>
      <w:r>
        <w:t xml:space="preserve">to identify and locate rightsholders, unfolding in three sequential stages. First, the CMO must verify its own membership records and other readily available records under Article 6(5). Second,</w:t>
      </w:r>
      <w:r>
        <w:t xml:space="preserve"> </w:t>
      </w:r>
      <w:r>
        <w:rPr>
          <w:bCs/>
          <w:b/>
        </w:rPr>
        <w:t xml:space="preserve">within three months</w:t>
      </w:r>
      <w:r>
        <w:t xml:space="preserve"> </w:t>
      </w:r>
      <w:r>
        <w:t xml:space="preserve">after the nine-month deadline, it must make information available to represented rightholders and all CMOs with representation agreements. The information must include, at minimum: the work title, the rightholder name (if partially known), the publisher or producer name, and any other relevant information held by the CMO. Third, if these measures fail, the CMO must</w:t>
      </w:r>
      <w:r>
        <w:t xml:space="preserve"> </w:t>
      </w:r>
      <w:r>
        <w:rPr>
          <w:bCs/>
          <w:b/>
        </w:rPr>
        <w:t xml:space="preserve">make that information available to the public</w:t>
      </w:r>
      <w:r>
        <w:t xml:space="preserve"> </w:t>
      </w:r>
      <w:r>
        <w:t xml:space="preserve">at the latest one year after the expiry of the three-month period.</w:t>
      </w:r>
      <w:r>
        <w:t xml:space="preserve"> </w:t>
      </w:r>
      <w:fldSimple w:instr="NOTEREF _Ref_Footnote_2 \h \f">
        <w:r>
          <w:rPr>
            <w:vertAlign w:val="superscript"/>
          </w:rPr>
          <w:t>2</w:t>
        </w:r>
      </w:fldSimple>
      <w:r>
        <w:t xml:space="preserve">This public publication obligation is the legal foundation for every unidentified works registry examined in this report. Its significance lies in the sequence it presupposes: the public registry functions as a last-resort mechanism, activated only after structured internal matching has been exhausted. The total timeline from collection to public publication is therefore</w:t>
      </w:r>
      <w:r>
        <w:t xml:space="preserve"> </w:t>
      </w:r>
      <w:r>
        <w:rPr>
          <w:bCs/>
          <w:b/>
        </w:rPr>
        <w:t xml:space="preserve">33 months</w:t>
      </w:r>
      <w:r>
        <w:t xml:space="preserve"> </w:t>
      </w:r>
      <w:r>
        <w:t xml:space="preserve">at maximum (9 months for distribution + 3 months for inter-CMO sharing + 12 months for public disclosure preparation + accounting for financial year boundaries), though in practice many CMOs operate on shorter cycles.</w:t>
      </w:r>
    </w:p>
    <w:bookmarkEnd w:id="22"/>
    <w:bookmarkStart w:id="23" w:name="the-directives-intentional-flexibility"/>
    <w:p>
      <w:pPr>
        <w:pStyle w:val="Heading3"/>
      </w:pPr>
      <w:r>
        <w:t xml:space="preserve">1.1.2 The Directive’s Intentional Flexibility</w:t>
      </w:r>
    </w:p>
    <w:p>
      <w:pPr>
        <w:pStyle w:val="FirstParagraph"/>
      </w:pPr>
      <w:r>
        <w:t xml:space="preserve">The CRM Directive adopts a conspicuously hands-off approach to the</w:t>
      </w:r>
      <w:r>
        <w:t xml:space="preserve"> </w:t>
      </w:r>
      <w:r>
        <w:rPr>
          <w:iCs/>
          <w:i/>
        </w:rPr>
        <w:t xml:space="preserve">modality</w:t>
      </w:r>
      <w:r>
        <w:t xml:space="preserve"> </w:t>
      </w:r>
      <w:r>
        <w:t xml:space="preserve">of public publication. Article 13(3) requires CMOs to</w:t>
      </w:r>
      <w:r>
        <w:t xml:space="preserve"> </w:t>
      </w:r>
      <w:r>
        <w:t xml:space="preserve">“</w:t>
      </w:r>
      <w:r>
        <w:t xml:space="preserve">make that information available to the public</w:t>
      </w:r>
      <w:r>
        <w:t xml:space="preserve">”</w:t>
      </w:r>
      <w:r>
        <w:t xml:space="preserve"> </w:t>
      </w:r>
      <w:r>
        <w:t xml:space="preserve">without specifying: the technical format (PDF, CSV, database, API); minimum searchability requirements; the language or languages of publication; whether bulk download must be available; whether login credentials may be required; or accessibility standards for persons with disabilities.</w:t>
      </w:r>
      <w:r>
        <w:t xml:space="preserve"> </w:t>
      </w:r>
      <w:fldSimple w:instr="NOTEREF _Ref_Footnote_2 \h \f">
        <w:r>
          <w:rPr>
            <w:vertAlign w:val="superscript"/>
          </w:rPr>
          <w:t>2</w:t>
        </w:r>
      </w:fldSimple>
      <w:r>
        <w:t xml:space="preserve"> </w:t>
      </w:r>
      <w:fldSimple w:instr="NOTEREF _Ref_Footnote_11 \h \f">
        <w:r>
          <w:rPr>
            <w:vertAlign w:val="superscript"/>
          </w:rPr>
          <w:t>11</w:t>
        </w:r>
      </w:fldSimple>
      <w:r>
        <w:t xml:space="preserve">This flexibility was almost certainly intentional. The Directive’s Recitals (Recitals 27–30) emphasise proportionality and the need to avoid disproportionate burdens on smaller CMOs. The Commission’s 2021 report concluded that the Directive</w:t>
      </w:r>
      <w:r>
        <w:t xml:space="preserve"> </w:t>
      </w:r>
      <w:r>
        <w:t xml:space="preserve">“</w:t>
      </w:r>
      <w:r>
        <w:t xml:space="preserve">has proven to have a positive effect on the market</w:t>
      </w:r>
      <w:r>
        <w:t xml:space="preserve">”</w:t>
      </w:r>
      <w:r>
        <w:t xml:space="preserve"> </w:t>
      </w:r>
      <w:r>
        <w:t xml:space="preserve">and required no review, but the same report contained no specific assessment of Article 13 compliance outcomes.</w:t>
      </w:r>
      <w:r>
        <w:t xml:space="preserve"> </w:t>
      </w:r>
      <w:fldSimple w:instr="NOTEREF _Ref_Footnote_7 \h \f">
        <w:r>
          <w:rPr>
            <w:vertAlign w:val="superscript"/>
          </w:rPr>
          <w:t>7</w:t>
        </w:r>
      </w:fldSimple>
      <w:r>
        <w:t xml:space="preserve"> </w:t>
      </w:r>
      <w:fldSimple w:instr="NOTEREF _Ref_Footnote_11 \h \f">
        <w:r>
          <w:rPr>
            <w:vertAlign w:val="superscript"/>
          </w:rPr>
          <w:t>11</w:t>
        </w:r>
      </w:fldSimple>
      <w:r>
        <w:t xml:space="preserve">The practical consequence is vast heterogeneity in publication practices. At one end, SACEM (France), ZAiKS (Poland), KODA (Denmark), and UCMR-ADA (Romania) operate interactive, searchable, multilingual web portals with integrated claim functionality.</w:t>
      </w:r>
      <w:r>
        <w:t xml:space="preserve"> </w:t>
      </w:r>
      <w:r>
        <w:rPr>
          <w:vertAlign w:val="superscript"/>
        </w:rPr>
        <w:footnoteReference w:id="18"/>
      </w:r>
      <w:r>
        <w:t xml:space="preserve">At the other extreme, some CMOs either publish no identifiable public registry or bury information in members-only sections, annual transparency reports, or non-machine-readable formats. The absence of format standards means that a CMO publishing a single 86,000-page PDF and a CMO operating a real-time searchable API are both, in principle, legally compliant — even though the former renders the information functionally useless for a rightsholder searching for their work. The Directive’s silence on update frequency, data retention periods, and cross-CMO synchronisation has also permitted CMOs to publish one-time lists and abandon them.</w:t>
      </w:r>
    </w:p>
    <w:bookmarkEnd w:id="23"/>
    <w:bookmarkStart w:id="24" w:name="Xc139b7031ae32943f9c2b3ffde812b0057741a0"/>
    <w:p>
      <w:pPr>
        <w:pStyle w:val="Heading3"/>
      </w:pPr>
      <w:r>
        <w:t xml:space="preserve">1.1.3 The Three-Year Reversion Rule (Art. 13(4)) and Its Implementation Patterns</w:t>
      </w:r>
    </w:p>
    <w:p>
      <w:pPr>
        <w:pStyle w:val="FirstParagraph"/>
      </w:pPr>
      <w:r>
        <w:t xml:space="preserve">Article 13(4) provides that where amounts cannot be distributed after</w:t>
      </w:r>
      <w:r>
        <w:t xml:space="preserve"> </w:t>
      </w:r>
      <w:r>
        <w:rPr>
          <w:bCs/>
          <w:b/>
        </w:rPr>
        <w:t xml:space="preserve">three years from the end of the financial year</w:t>
      </w:r>
      <w:r>
        <w:t xml:space="preserve"> </w:t>
      </w:r>
      <w:r>
        <w:t xml:space="preserve">in which collection occurred, and provided the CMO has taken all necessary measures under Article 13(3), those amounts become</w:t>
      </w:r>
      <w:r>
        <w:t xml:space="preserve"> </w:t>
      </w:r>
      <w:r>
        <w:t xml:space="preserve">“</w:t>
      </w:r>
      <w:r>
        <w:t xml:space="preserve">non-distributable.</w:t>
      </w:r>
      <w:r>
        <w:t xml:space="preserve">”</w:t>
      </w:r>
      <w:r>
        <w:t xml:space="preserve"> </w:t>
      </w:r>
      <w:fldSimple w:instr="NOTEREF _Ref_Footnote_2 \h \f">
        <w:r>
          <w:rPr>
            <w:vertAlign w:val="superscript"/>
          </w:rPr>
          <w:t>2</w:t>
        </w:r>
      </w:fldSimple>
      <w:r>
        <w:t xml:space="preserve">Article 13(5) assigns decision-making authority over their use to the CMO’s general assembly, without prejudice to any rightholder’s continuing right to claim under applicable limitation periods. Article 13(6) grants Member States broad discretion to</w:t>
      </w:r>
      <w:r>
        <w:t xml:space="preserve"> </w:t>
      </w:r>
      <w:r>
        <w:t xml:space="preserve">“</w:t>
      </w:r>
      <w:r>
        <w:t xml:space="preserve">limit or determine the permitted uses,</w:t>
      </w:r>
      <w:r>
        <w:t xml:space="preserve">”</w:t>
      </w:r>
      <w:r>
        <w:t xml:space="preserve"> </w:t>
      </w:r>
      <w:r>
        <w:t xml:space="preserve">including by requiring that amounts fund</w:t>
      </w:r>
      <w:r>
        <w:t xml:space="preserve"> </w:t>
      </w:r>
      <w:r>
        <w:t xml:space="preserve">“</w:t>
      </w:r>
      <w:r>
        <w:t xml:space="preserve">social, cultural and educational activities for the benefit of rightholders.</w:t>
      </w:r>
      <w:r>
        <w:t xml:space="preserve">”</w:t>
      </w:r>
      <w:r>
        <w:t xml:space="preserve"> </w:t>
      </w:r>
      <w:fldSimple w:instr="NOTEREF _Ref_Footnote_2 \h \f">
        <w:r>
          <w:rPr>
            <w:vertAlign w:val="superscript"/>
          </w:rPr>
          <w:t>2</w:t>
        </w:r>
      </w:fldSimple>
      <w:r>
        <w:t xml:space="preserve">This framework has produced three principal implementation patterns.</w:t>
      </w:r>
      <w:r>
        <w:t xml:space="preserve"> </w:t>
      </w:r>
      <w:r>
        <w:rPr>
          <w:bCs/>
          <w:b/>
        </w:rPr>
        <w:t xml:space="preserve">Pattern A — Pro-rata redistribution to members</w:t>
      </w:r>
      <w:r>
        <w:t xml:space="preserve"> </w:t>
      </w:r>
      <w:r>
        <w:t xml:space="preserve">— is followed by PRS for Music (UK), which distributes all unclaimed amounts to existing members after three years and reports zero non-distributable amounts.</w:t>
      </w:r>
      <w:r>
        <w:t xml:space="preserve"> </w:t>
      </w:r>
      <w:r>
        <w:rPr>
          <w:vertAlign w:val="superscript"/>
        </w:rPr>
        <w:footnoteReference w:id="19"/>
      </w:r>
      <w:r>
        <w:t xml:space="preserve">NCB (Nordic) similarly distributes reverted amounts as lump sums by category and territory.</w:t>
      </w:r>
      <w:r>
        <w:t xml:space="preserve"> </w:t>
      </w:r>
      <w:r>
        <w:rPr>
          <w:vertAlign w:val="superscript"/>
        </w:rPr>
        <w:footnoteReference w:id="20"/>
      </w:r>
      <w:r>
        <w:rPr>
          <w:bCs/>
          <w:b/>
        </w:rPr>
        <w:t xml:space="preserve">Pattern B — Transfer to social, cultural, and educational funds</w:t>
      </w:r>
      <w:r>
        <w:t xml:space="preserve"> </w:t>
      </w:r>
      <w:r>
        <w:t xml:space="preserve">— is followed by GEMA (Germany), which in 2020 transferred EUR 319,000 in non-distributable amounts to social and cultural funds (from which EUR 67.68 million was deployed overall), and by ARTISJUS (Hungary), which directs 90% to the National Cultural Fund.</w:t>
      </w:r>
      <w:r>
        <w:t xml:space="preserve"> </w:t>
      </w:r>
      <w:r>
        <w:rPr>
          <w:vertAlign w:val="superscript"/>
        </w:rPr>
        <w:footnoteReference w:id="21"/>
      </w:r>
      <w:r>
        <w:t xml:space="preserve"> </w:t>
      </w:r>
      <w:r>
        <w:rPr>
          <w:vertAlign w:val="superscript"/>
        </w:rPr>
        <w:footnoteReference w:id="22"/>
      </w:r>
      <w:r>
        <w:rPr>
          <w:bCs/>
          <w:b/>
        </w:rPr>
        <w:t xml:space="preserve">Pattern C — Management cost financing</w:t>
      </w:r>
      <w:r>
        <w:t xml:space="preserve"> </w:t>
      </w:r>
      <w:r>
        <w:t xml:space="preserve">— is practised by SACEM (France), which uses EUR 31 million in voluntary management irrepartissables to finance net operating charges and statutory reserve limits, while allocating a separate EUR 5.2 million from mandatory management to cultural aid programmes.</w:t>
      </w:r>
      <w:r>
        <w:t xml:space="preserve"> </w:t>
      </w:r>
      <w:r>
        <w:rPr>
          <w:vertAlign w:val="superscript"/>
        </w:rPr>
        <w:footnoteReference w:id="23"/>
      </w:r>
      <w:r>
        <w:t xml:space="preserve">The monetary scale of unallocated royalties subject to this rule is substantial. Extrapolation from the CMOs that disclose figures — SACEM (EUR 36.2 million), NCB (approximately EUR 16.5 million), and GEMA (EUR 319,000) — suggests a European total in the range of</w:t>
      </w:r>
      <w:r>
        <w:t xml:space="preserve"> </w:t>
      </w:r>
      <w:r>
        <w:rPr>
          <w:bCs/>
          <w:b/>
        </w:rPr>
        <w:t xml:space="preserve">EUR 100–300 million</w:t>
      </w:r>
      <w:r>
        <w:t xml:space="preserve"> </w:t>
      </w:r>
      <w:r>
        <w:t xml:space="preserve">at any given time.</w:t>
      </w:r>
      <w:r>
        <w:t xml:space="preserve"> </w:t>
      </w:r>
      <w:r>
        <w:rPr>
          <w:vertAlign w:val="superscript"/>
        </w:rPr>
        <w:footnoteReference w:id="24"/>
      </w:r>
      <w:r>
        <w:t xml:space="preserve">This does not include royalties held by digital service providers that have not yet been claimed by CMOs, nor historical accumulations across decades. Notably,</w:t>
      </w:r>
      <w:r>
        <w:t xml:space="preserve"> </w:t>
      </w:r>
      <w:r>
        <w:rPr>
          <w:bCs/>
          <w:b/>
        </w:rPr>
        <w:t xml:space="preserve">no CMO publishes statistics on identification success rates</w:t>
      </w:r>
      <w:r>
        <w:t xml:space="preserve"> </w:t>
      </w:r>
      <w:r>
        <w:t xml:space="preserve">— the percentage of initially unidentified works eventually matched through the Article 13(3) process — making it impossible to assess whether the three-year period is adequate given contemporary data-matching challenges or whether CMOs are under-investing in identification.</w:t>
      </w:r>
      <w:r>
        <w:t xml:space="preserve"> </w:t>
      </w:r>
      <w:fldSimple w:instr="NOTEREF _Ref_Footnote_20 \h \f">
        <w:r>
          <w:rPr>
            <w:vertAlign w:val="superscript"/>
          </w:rPr>
          <w:t>20</w:t>
        </w:r>
      </w:fldSimple>
      <w:r>
        <w:t xml:space="preserve"> </w:t>
      </w:r>
      <w:r>
        <w:rPr>
          <w:vertAlign w:val="superscript"/>
        </w:rPr>
        <w:footnoteReference w:id="25"/>
      </w:r>
      <w:r>
        <w:t xml:space="preserve">—</w:t>
      </w:r>
    </w:p>
    <w:bookmarkEnd w:id="24"/>
    <w:bookmarkEnd w:id="25"/>
    <w:bookmarkStart w:id="27" w:name="national-transposition-variations"/>
    <w:p>
      <w:pPr>
        <w:pStyle w:val="Heading2"/>
      </w:pPr>
      <w:r>
        <w:t xml:space="preserve">1.2 National Transposition Variations</w:t>
      </w:r>
    </w:p>
    <w:p>
      <w:pPr>
        <w:pStyle w:val="FirstParagraph"/>
      </w:pPr>
      <w:r>
        <w:t xml:space="preserve">All EU Member States were required to transpose the CRM Directive by 10 April 2016. The Commission opened infringement proceedings against 23 Member States in May 2016 for late transposition; by December 2017, four remaining states had been referred to the CJEU.</w:t>
      </w:r>
      <w:r>
        <w:t xml:space="preserve"> </w:t>
      </w:r>
      <w:fldSimple w:instr="NOTEREF _Ref_Footnote_11 \h \f">
        <w:r>
          <w:rPr>
            <w:vertAlign w:val="superscript"/>
          </w:rPr>
          <w:t>11</w:t>
        </w:r>
      </w:fldSimple>
      <w:r>
        <w:t xml:space="preserve">Despite eventual universal transposition, the specificity of national implementing provisions varies considerably. Table 1 summarises the key provisions in the jurisdictions with the most explicit transpositions.</w:t>
      </w:r>
    </w:p>
    <w:bookmarkStart w:id="26" w:name="X0d14415a7b1a835999cab7349dfada46eae4075"/>
    <w:p>
      <w:pPr>
        <w:pStyle w:val="Heading3"/>
      </w:pPr>
      <w:r>
        <w:t xml:space="preserve">Table 1: Key National Implementing Provisions for Article 13 Obligations</w:t>
      </w:r>
    </w:p>
    <w:tbl>
      <w:tblPr>
        <w:tblStyle w:val="Table"/>
        <w:tblW w:type="pct" w:w="5000"/>
        <w:tblLook w:firstRow="1" w:lastRow="0" w:firstColumn="0" w:lastColumn="0" w:noHBand="0" w:noVBand="0" w:val="0020"/>
      </w:tblPr>
      <w:tblGrid>
        <w:gridCol w:w="584"/>
        <w:gridCol w:w="843"/>
        <w:gridCol w:w="1038"/>
        <w:gridCol w:w="1428"/>
        <w:gridCol w:w="1947"/>
        <w:gridCol w:w="2077"/>
      </w:tblGrid>
      <w:tr>
        <w:trPr>
          <w:tblHeader w:val="true"/>
        </w:trPr>
        <w:tc>
          <w:tcPr/>
          <w:p>
            <w:pPr>
              <w:pStyle w:val="Compact"/>
              <w:jc w:val="left"/>
            </w:pPr>
            <w:r>
              <w:t xml:space="preserve">Country</w:t>
            </w:r>
          </w:p>
        </w:tc>
        <w:tc>
          <w:tcPr/>
          <w:p>
            <w:pPr>
              <w:pStyle w:val="Compact"/>
              <w:jc w:val="left"/>
            </w:pPr>
            <w:r>
              <w:t xml:space="preserve">National Law</w:t>
            </w:r>
          </w:p>
        </w:tc>
        <w:tc>
          <w:tcPr/>
          <w:p>
            <w:pPr>
              <w:pStyle w:val="Compact"/>
              <w:jc w:val="left"/>
            </w:pPr>
            <w:r>
              <w:t xml:space="preserve">Key Provisions</w:t>
            </w:r>
          </w:p>
        </w:tc>
        <w:tc>
          <w:tcPr/>
          <w:p>
            <w:pPr>
              <w:pStyle w:val="Compact"/>
              <w:jc w:val="left"/>
            </w:pPr>
            <w:r>
              <w:t xml:space="preserve">Supervisory Authority</w:t>
            </w:r>
          </w:p>
        </w:tc>
        <w:tc>
          <w:tcPr/>
          <w:p>
            <w:pPr>
              <w:pStyle w:val="Compact"/>
              <w:jc w:val="left"/>
            </w:pPr>
            <w:r>
              <w:t xml:space="preserve">Explicit Website Requirement?</w:t>
            </w:r>
          </w:p>
        </w:tc>
        <w:tc>
          <w:tcPr/>
          <w:p>
            <w:pPr>
              <w:pStyle w:val="Compact"/>
              <w:jc w:val="left"/>
            </w:pPr>
            <w:r>
              <w:t xml:space="preserve">Notable Additional Requirements</w:t>
            </w:r>
          </w:p>
        </w:tc>
      </w:tr>
      <w:tr>
        <w:tc>
          <w:tcPr/>
          <w:p>
            <w:pPr>
              <w:pStyle w:val="Compact"/>
              <w:jc w:val="left"/>
            </w:pPr>
            <w:r>
              <w:rPr>
                <w:bCs/>
                <w:b/>
              </w:rPr>
              <w:t xml:space="preserve">France</w:t>
            </w:r>
          </w:p>
        </w:tc>
        <w:tc>
          <w:tcPr/>
          <w:p>
            <w:pPr>
              <w:pStyle w:val="Compact"/>
              <w:jc w:val="left"/>
            </w:pPr>
            <w:r>
              <w:t xml:space="preserve">CPI, Art. L.324-12 to L.324-14</w:t>
            </w:r>
          </w:p>
        </w:tc>
        <w:tc>
          <w:tcPr/>
          <w:p>
            <w:pPr>
              <w:pStyle w:val="Compact"/>
              <w:jc w:val="left"/>
            </w:pPr>
            <w:r>
              <w:t xml:space="preserve">L.324-14: identification measures; online availability; public access if measures fail</w:t>
            </w:r>
            <w:r>
              <w:t xml:space="preserve"> </w:t>
            </w:r>
            <w:r>
              <w:rPr>
                <w:vertAlign w:val="superscript"/>
              </w:rPr>
              <w:footnoteReference w:id="26"/>
            </w:r>
          </w:p>
        </w:tc>
        <w:tc>
          <w:tcPr/>
          <w:p>
            <w:pPr>
              <w:pStyle w:val="Compact"/>
              <w:jc w:val="left"/>
            </w:pPr>
            <w:r>
              <w:t xml:space="preserve">Commission de contrôle des OGC</w:t>
            </w:r>
            <w:r>
              <w:t xml:space="preserve"> </w:t>
            </w:r>
            <w:fldSimple w:instr="NOTEREF _Ref_Footnote_18 \h \f">
              <w:r>
                <w:rPr>
                  <w:vertAlign w:val="superscript"/>
                </w:rPr>
                <w:t>18</w:t>
              </w:r>
            </w:fldSimple>
          </w:p>
        </w:tc>
        <w:tc>
          <w:tcPr/>
          <w:p>
            <w:pPr>
              <w:pStyle w:val="Compact"/>
              <w:jc w:val="left"/>
            </w:pPr>
            <w:r>
              <w:t xml:space="preserve">Implied (</w:t>
            </w:r>
            <w:r>
              <w:t xml:space="preserve">“</w:t>
            </w:r>
            <w:r>
              <w:t xml:space="preserve">facilement accessibles en ligne</w:t>
            </w:r>
            <w:r>
              <w:t xml:space="preserve">”</w:t>
            </w:r>
            <w:r>
              <w:t xml:space="preserve">)</w:t>
            </w:r>
          </w:p>
        </w:tc>
        <w:tc>
          <w:tcPr/>
          <w:p>
            <w:pPr>
              <w:pStyle w:val="Compact"/>
              <w:jc w:val="left"/>
            </w:pPr>
            <w:r>
              <w:t xml:space="preserve">Dedicated supervisory commission; ONI portal as best practice</w:t>
            </w:r>
          </w:p>
        </w:tc>
      </w:tr>
      <w:tr>
        <w:tc>
          <w:tcPr/>
          <w:p>
            <w:pPr>
              <w:pStyle w:val="Compact"/>
              <w:jc w:val="left"/>
            </w:pPr>
            <w:r>
              <w:rPr>
                <w:bCs/>
                <w:b/>
              </w:rPr>
              <w:t xml:space="preserve">Germany</w:t>
            </w:r>
          </w:p>
        </w:tc>
        <w:tc>
          <w:tcPr/>
          <w:p>
            <w:pPr>
              <w:pStyle w:val="Compact"/>
              <w:jc w:val="left"/>
            </w:pPr>
            <w:r>
              <w:t xml:space="preserve">VGG, §§ 28–30, 44</w:t>
            </w:r>
          </w:p>
        </w:tc>
        <w:tc>
          <w:tcPr/>
          <w:p>
            <w:pPr>
              <w:pStyle w:val="Compact"/>
              <w:jc w:val="left"/>
            </w:pPr>
            <w:r>
              <w:t xml:space="preserve">§ 28: 9-month deadline; § 29: identification; § 30: non-distributable amounts; § 44: publication</w:t>
            </w:r>
            <w:r>
              <w:t xml:space="preserve"> </w:t>
            </w:r>
            <w:r>
              <w:rPr>
                <w:vertAlign w:val="superscript"/>
              </w:rPr>
              <w:footnoteReference w:id="27"/>
            </w:r>
            <w:r>
              <w:t xml:space="preserve"> </w:t>
            </w:r>
            <w:r>
              <w:rPr>
                <w:vertAlign w:val="superscript"/>
              </w:rPr>
              <w:footnoteReference w:id="28"/>
            </w:r>
          </w:p>
        </w:tc>
        <w:tc>
          <w:tcPr/>
          <w:p>
            <w:pPr>
              <w:pStyle w:val="Compact"/>
              <w:jc w:val="left"/>
            </w:pPr>
            <w:r>
              <w:t xml:space="preserve">DPMA</w:t>
            </w:r>
            <w:r>
              <w:t xml:space="preserve"> </w:t>
            </w:r>
            <w:r>
              <w:rPr>
                <w:vertAlign w:val="superscript"/>
              </w:rPr>
              <w:footnoteReference w:id="29"/>
            </w:r>
          </w:p>
        </w:tc>
        <w:tc>
          <w:tcPr/>
          <w:p>
            <w:pPr>
              <w:pStyle w:val="Compact"/>
              <w:jc w:val="left"/>
            </w:pPr>
            <w:r>
              <w:t xml:space="preserve">No</w:t>
            </w:r>
          </w:p>
        </w:tc>
        <w:tc>
          <w:tcPr/>
          <w:p>
            <w:pPr>
              <w:pStyle w:val="Compact"/>
              <w:jc w:val="left"/>
            </w:pPr>
            <w:r>
              <w:t xml:space="preserve">No format requirements beyond Directive minimum</w:t>
            </w:r>
          </w:p>
        </w:tc>
      </w:tr>
      <w:tr>
        <w:tc>
          <w:tcPr/>
          <w:p>
            <w:pPr>
              <w:pStyle w:val="Compact"/>
              <w:jc w:val="left"/>
            </w:pPr>
            <w:r>
              <w:rPr>
                <w:bCs/>
                <w:b/>
              </w:rPr>
              <w:t xml:space="preserve">United Kingdom</w:t>
            </w:r>
          </w:p>
        </w:tc>
        <w:tc>
          <w:tcPr/>
          <w:p>
            <w:pPr>
              <w:pStyle w:val="Compact"/>
              <w:jc w:val="left"/>
            </w:pPr>
            <w:r>
              <w:t xml:space="preserve">SI 2016/221, Regs. 11–13</w:t>
            </w:r>
          </w:p>
        </w:tc>
        <w:tc>
          <w:tcPr/>
          <w:p>
            <w:pPr>
              <w:pStyle w:val="Compact"/>
              <w:jc w:val="left"/>
            </w:pPr>
            <w:r>
              <w:t xml:space="preserve">Reg. 12(7): identification; availability to rightholders and CMOs; public publication</w:t>
            </w:r>
            <w:r>
              <w:t xml:space="preserve"> </w:t>
            </w:r>
            <w:r>
              <w:rPr>
                <w:vertAlign w:val="superscript"/>
              </w:rPr>
              <w:footnoteReference w:id="30"/>
            </w:r>
            <w:r>
              <w:t xml:space="preserve"> </w:t>
            </w:r>
            <w:r>
              <w:rPr>
                <w:vertAlign w:val="superscript"/>
              </w:rPr>
              <w:footnoteReference w:id="31"/>
            </w:r>
          </w:p>
        </w:tc>
        <w:tc>
          <w:tcPr/>
          <w:p>
            <w:pPr>
              <w:pStyle w:val="Compact"/>
              <w:jc w:val="left"/>
            </w:pPr>
            <w:r>
              <w:t xml:space="preserve">IPO</w:t>
            </w:r>
            <w:r>
              <w:t xml:space="preserve"> </w:t>
            </w:r>
            <w:r>
              <w:rPr>
                <w:vertAlign w:val="superscript"/>
              </w:rPr>
              <w:footnoteReference w:id="32"/>
            </w:r>
          </w:p>
        </w:tc>
        <w:tc>
          <w:tcPr/>
          <w:p>
            <w:pPr>
              <w:pStyle w:val="Compact"/>
              <w:jc w:val="left"/>
            </w:pPr>
            <w:r>
              <w:t xml:space="preserve">No</w:t>
            </w:r>
          </w:p>
        </w:tc>
        <w:tc>
          <w:tcPr/>
          <w:p>
            <w:pPr>
              <w:pStyle w:val="Compact"/>
              <w:jc w:val="left"/>
            </w:pPr>
            <w:r>
              <w:t xml:space="preserve">Detailed IPO guidance; fines up to GBP 50,000 possible</w:t>
            </w:r>
          </w:p>
        </w:tc>
      </w:tr>
      <w:tr>
        <w:tc>
          <w:tcPr/>
          <w:p>
            <w:pPr>
              <w:pStyle w:val="Compact"/>
              <w:jc w:val="left"/>
            </w:pPr>
            <w:r>
              <w:rPr>
                <w:bCs/>
                <w:b/>
              </w:rPr>
              <w:t xml:space="preserve">Spain</w:t>
            </w:r>
          </w:p>
        </w:tc>
        <w:tc>
          <w:tcPr/>
          <w:p>
            <w:pPr>
              <w:pStyle w:val="Compact"/>
              <w:jc w:val="left"/>
            </w:pPr>
            <w:r>
              <w:t xml:space="preserve">IP Law, Art. 177 and Art. 185(i)</w:t>
            </w:r>
          </w:p>
        </w:tc>
        <w:tc>
          <w:tcPr/>
          <w:p>
            <w:pPr>
              <w:pStyle w:val="Compact"/>
              <w:jc w:val="left"/>
            </w:pPr>
            <w:r>
              <w:t xml:space="preserve">Art. 177(5): identification; Art. 185(i):</w:t>
            </w:r>
            <w:r>
              <w:t xml:space="preserve"> </w:t>
            </w:r>
            <w:r>
              <w:rPr>
                <w:bCs/>
                <w:b/>
              </w:rPr>
              <w:t xml:space="preserve">website publication</w:t>
            </w:r>
            <w:r>
              <w:t xml:space="preserve"> </w:t>
            </w:r>
            <w:r>
              <w:t xml:space="preserve">within 1 year</w:t>
            </w:r>
            <w:r>
              <w:t xml:space="preserve"> </w:t>
            </w:r>
            <w:r>
              <w:rPr>
                <w:vertAlign w:val="superscript"/>
              </w:rPr>
              <w:footnoteReference w:id="33"/>
            </w:r>
          </w:p>
        </w:tc>
        <w:tc>
          <w:tcPr/>
          <w:p>
            <w:pPr>
              <w:pStyle w:val="Compact"/>
              <w:jc w:val="left"/>
            </w:pPr>
            <w:r>
              <w:t xml:space="preserve">Ministry of Culture</w:t>
            </w:r>
          </w:p>
        </w:tc>
        <w:tc>
          <w:tcPr/>
          <w:p>
            <w:pPr>
              <w:pStyle w:val="Compact"/>
              <w:jc w:val="left"/>
            </w:pPr>
            <w:r>
              <w:rPr>
                <w:bCs/>
                <w:b/>
              </w:rPr>
              <w:t xml:space="preserve">Yes</w:t>
            </w:r>
            <w:r>
              <w:t xml:space="preserve"> </w:t>
            </w:r>
            <w:r>
              <w:t xml:space="preserve">(statutory)</w:t>
            </w:r>
          </w:p>
        </w:tc>
        <w:tc>
          <w:tcPr/>
          <w:p>
            <w:pPr>
              <w:pStyle w:val="Compact"/>
              <w:jc w:val="left"/>
            </w:pPr>
            <w:r>
              <w:t xml:space="preserve">Min. 15% allocation to each permitted use for non-distributable amounts</w:t>
            </w:r>
          </w:p>
        </w:tc>
      </w:tr>
      <w:tr>
        <w:tc>
          <w:tcPr/>
          <w:p>
            <w:pPr>
              <w:pStyle w:val="Compact"/>
              <w:jc w:val="left"/>
            </w:pPr>
            <w:r>
              <w:rPr>
                <w:bCs/>
                <w:b/>
              </w:rPr>
              <w:t xml:space="preserve">Austria</w:t>
            </w:r>
          </w:p>
        </w:tc>
        <w:tc>
          <w:tcPr/>
          <w:p>
            <w:pPr>
              <w:pStyle w:val="Compact"/>
              <w:jc w:val="left"/>
            </w:pPr>
            <w:r>
              <w:t xml:space="preserve">VGG 2016, § 35</w:t>
            </w:r>
          </w:p>
        </w:tc>
        <w:tc>
          <w:tcPr/>
          <w:p>
            <w:pPr>
              <w:pStyle w:val="Compact"/>
              <w:jc w:val="left"/>
            </w:pPr>
            <w:r>
              <w:t xml:space="preserve">§ 35: 3-month + 1-year timeline;</w:t>
            </w:r>
            <w:r>
              <w:t xml:space="preserve"> </w:t>
            </w:r>
            <w:r>
              <w:rPr>
                <w:bCs/>
                <w:b/>
              </w:rPr>
              <w:t xml:space="preserve">website publication</w:t>
            </w:r>
            <w:r>
              <w:t xml:space="preserve"> </w:t>
            </w:r>
            <w:r>
              <w:rPr>
                <w:vertAlign w:val="superscript"/>
              </w:rPr>
              <w:footnoteReference w:id="34"/>
            </w:r>
          </w:p>
        </w:tc>
        <w:tc>
          <w:tcPr/>
          <w:p>
            <w:pPr>
              <w:pStyle w:val="Compact"/>
              <w:jc w:val="left"/>
            </w:pPr>
            <w:r>
              <w:t xml:space="preserve">Aufsichtsbehörde (Ministry of Justice)</w:t>
            </w:r>
            <w:r>
              <w:t xml:space="preserve"> </w:t>
            </w:r>
            <w:r>
              <w:rPr>
                <w:vertAlign w:val="superscript"/>
              </w:rPr>
              <w:footnoteReference w:id="35"/>
            </w:r>
          </w:p>
        </w:tc>
        <w:tc>
          <w:tcPr/>
          <w:p>
            <w:pPr>
              <w:pStyle w:val="Compact"/>
              <w:jc w:val="left"/>
            </w:pPr>
            <w:r>
              <w:rPr>
                <w:bCs/>
                <w:b/>
              </w:rPr>
              <w:t xml:space="preserve">Yes</w:t>
            </w:r>
            <w:r>
              <w:t xml:space="preserve"> </w:t>
            </w:r>
            <w:r>
              <w:t xml:space="preserve">(statutory)</w:t>
            </w:r>
          </w:p>
        </w:tc>
        <w:tc>
          <w:tcPr/>
          <w:p>
            <w:pPr>
              <w:pStyle w:val="Compact"/>
              <w:jc w:val="left"/>
            </w:pPr>
            <w:r>
              <w:t xml:space="preserve">Authorisation revocation available; CJEU case C-579/24 pending</w:t>
            </w:r>
          </w:p>
        </w:tc>
      </w:tr>
      <w:tr>
        <w:tc>
          <w:tcPr/>
          <w:p>
            <w:pPr>
              <w:pStyle w:val="Compact"/>
              <w:jc w:val="left"/>
            </w:pPr>
            <w:r>
              <w:rPr>
                <w:bCs/>
                <w:b/>
              </w:rPr>
              <w:t xml:space="preserve">Poland</w:t>
            </w:r>
          </w:p>
        </w:tc>
        <w:tc>
          <w:tcPr/>
          <w:p>
            <w:pPr>
              <w:pStyle w:val="Compact"/>
              <w:jc w:val="left"/>
            </w:pPr>
            <w:r>
              <w:t xml:space="preserve">Copyright Act + CMO regulations</w:t>
            </w:r>
          </w:p>
        </w:tc>
        <w:tc>
          <w:tcPr/>
          <w:p>
            <w:pPr>
              <w:pStyle w:val="Compact"/>
              <w:jc w:val="left"/>
            </w:pPr>
            <w:r>
              <w:t xml:space="preserve">General framework for CMO publication</w:t>
            </w:r>
            <w:r>
              <w:t xml:space="preserve"> </w:t>
            </w:r>
            <w:r>
              <w:rPr>
                <w:vertAlign w:val="superscript"/>
              </w:rPr>
              <w:footnoteReference w:id="36"/>
            </w:r>
          </w:p>
        </w:tc>
        <w:tc>
          <w:tcPr/>
          <w:p>
            <w:pPr>
              <w:pStyle w:val="Compact"/>
              <w:jc w:val="left"/>
            </w:pPr>
            <w:r>
              <w:t xml:space="preserve">Minister of Culture (Copyright Commission)</w:t>
            </w:r>
            <w:r>
              <w:t xml:space="preserve"> </w:t>
            </w:r>
            <w:r>
              <w:rPr>
                <w:vertAlign w:val="superscript"/>
              </w:rPr>
              <w:footnoteReference w:id="37"/>
            </w:r>
            <w:r>
              <w:t xml:space="preserve"> </w:t>
            </w:r>
            <w:r>
              <w:rPr>
                <w:vertAlign w:val="superscript"/>
              </w:rPr>
              <w:footnoteReference w:id="38"/>
            </w:r>
          </w:p>
        </w:tc>
        <w:tc>
          <w:tcPr/>
          <w:p>
            <w:pPr>
              <w:pStyle w:val="Compact"/>
              <w:jc w:val="left"/>
            </w:pPr>
            <w:r>
              <w:t xml:space="preserve">No</w:t>
            </w:r>
          </w:p>
        </w:tc>
        <w:tc>
          <w:tcPr/>
          <w:p>
            <w:pPr>
              <w:pStyle w:val="Compact"/>
              <w:jc w:val="left"/>
            </w:pPr>
            <w:r>
              <w:t xml:space="preserve">12 authorised CMOs; ZAiKS recognised best practice</w:t>
            </w:r>
          </w:p>
        </w:tc>
      </w:tr>
      <w:tr>
        <w:tc>
          <w:tcPr/>
          <w:p>
            <w:pPr>
              <w:pStyle w:val="Compact"/>
              <w:jc w:val="left"/>
            </w:pPr>
            <w:r>
              <w:rPr>
                <w:bCs/>
                <w:b/>
              </w:rPr>
              <w:t xml:space="preserve">Romania</w:t>
            </w:r>
          </w:p>
        </w:tc>
        <w:tc>
          <w:tcPr/>
          <w:p>
            <w:pPr>
              <w:pStyle w:val="Compact"/>
              <w:jc w:val="left"/>
            </w:pPr>
            <w:r>
              <w:t xml:space="preserve">Law No. 8/1996, as amended</w:t>
            </w:r>
          </w:p>
        </w:tc>
        <w:tc>
          <w:tcPr/>
          <w:p>
            <w:pPr>
              <w:pStyle w:val="Compact"/>
              <w:jc w:val="left"/>
            </w:pPr>
            <w:r>
              <w:t xml:space="preserve">UCMR-ADA internal regulations define procedures</w:t>
            </w:r>
            <w:r>
              <w:t xml:space="preserve"> </w:t>
            </w:r>
            <w:r>
              <w:rPr>
                <w:vertAlign w:val="superscript"/>
              </w:rPr>
              <w:footnoteReference w:id="39"/>
            </w:r>
          </w:p>
        </w:tc>
        <w:tc>
          <w:tcPr/>
          <w:p>
            <w:pPr>
              <w:pStyle w:val="Compact"/>
              <w:jc w:val="left"/>
            </w:pPr>
            <w:r>
              <w:t xml:space="preserve">ORDA</w:t>
            </w:r>
          </w:p>
        </w:tc>
        <w:tc>
          <w:tcPr/>
          <w:p>
            <w:pPr>
              <w:pStyle w:val="Compact"/>
              <w:jc w:val="left"/>
            </w:pPr>
            <w:r>
              <w:t xml:space="preserve">No</w:t>
            </w:r>
          </w:p>
        </w:tc>
        <w:tc>
          <w:tcPr/>
          <w:p>
            <w:pPr>
              <w:pStyle w:val="Compact"/>
              <w:jc w:val="left"/>
            </w:pPr>
            <w:r>
              <w:t xml:space="preserve">UCMR-ADA registry recognised as good practice; CREDIDAM has explicit mandate</w:t>
            </w:r>
          </w:p>
        </w:tc>
      </w:tr>
    </w:tbl>
    <w:p>
      <w:pPr>
        <w:pStyle w:val="BodyText"/>
      </w:pPr>
      <w:r>
        <w:t xml:space="preserve">The transpositions fall into three categories.</w:t>
      </w:r>
      <w:r>
        <w:t xml:space="preserve"> </w:t>
      </w:r>
      <w:r>
        <w:rPr>
          <w:bCs/>
          <w:b/>
        </w:rPr>
        <w:t xml:space="preserve">Prescriptive transpositions</w:t>
      </w:r>
      <w:r>
        <w:t xml:space="preserve"> </w:t>
      </w:r>
      <w:r>
        <w:t xml:space="preserve">(Spain, Austria) exceed the Directive’s minimum by explicitly requiring website publication and, in Spain’s case, mandating specific minimum allocations for non-distributable funds. Spain’s Article 185(i) is particularly notable because it converts the general</w:t>
      </w:r>
      <w:r>
        <w:t xml:space="preserve"> </w:t>
      </w:r>
      <w:r>
        <w:t xml:space="preserve">“</w:t>
      </w:r>
      <w:r>
        <w:t xml:space="preserve">available to the public</w:t>
      </w:r>
      <w:r>
        <w:t xml:space="preserve">”</w:t>
      </w:r>
      <w:r>
        <w:t xml:space="preserve"> </w:t>
      </w:r>
      <w:r>
        <w:t xml:space="preserve">obligation into a concrete statutory duty to publish on the CMO’s website, eliminating any ambiguity about whether offline or members-only dissemination satisfies the requirement.</w:t>
      </w:r>
      <w:r>
        <w:t xml:space="preserve"> </w:t>
      </w:r>
      <w:fldSimple w:instr="NOTEREF _Ref_Footnote_33 \h \f">
        <w:r>
          <w:rPr>
            <w:vertAlign w:val="superscript"/>
          </w:rPr>
          <w:t>33</w:t>
        </w:r>
      </w:fldSimple>
      <w:r>
        <w:rPr>
          <w:bCs/>
          <w:b/>
        </w:rPr>
        <w:t xml:space="preserve">Supervisory-enhanced transpositions</w:t>
      </w:r>
      <w:r>
        <w:t xml:space="preserve"> </w:t>
      </w:r>
      <w:r>
        <w:t xml:space="preserve">(France, Germany) do not add format requirements but designate dedicated supervisory authorities with monitoring powers. France’s Commission de contrôle des organismes de gestion des droits is the only body in this sample whose name and mandate explicitly signal CMO governance oversight.</w:t>
      </w:r>
      <w:r>
        <w:t xml:space="preserve"> </w:t>
      </w:r>
      <w:fldSimple w:instr="NOTEREF _Ref_Footnote_18 \h \f">
        <w:r>
          <w:rPr>
            <w:vertAlign w:val="superscript"/>
          </w:rPr>
          <w:t>18</w:t>
        </w:r>
      </w:fldSimple>
      <w:r>
        <w:rPr>
          <w:bCs/>
          <w:b/>
        </w:rPr>
        <w:t xml:space="preserve">Minimal transpositions</w:t>
      </w:r>
      <w:r>
        <w:t xml:space="preserve"> </w:t>
      </w:r>
      <w:r>
        <w:t xml:space="preserve">(UK, Poland) reproduce the Directive’s text with little elaboration.</w:t>
      </w:r>
    </w:p>
    <w:p>
      <w:pPr>
        <w:pStyle w:val="BodyText"/>
      </w:pPr>
      <w:r>
        <w:t xml:space="preserve">The variation measurably impacts compliance outcomes. Countries with explicit website requirements and active supervisory bodies tend to have more accessible registries. The research also identified a notable geographic inversion: several Central and Eastern European CMOs — including UCMR-ADA (Romania), HDS-ZAMP (Croatia), and SOZA (Slovakia) — publish public registries despite fewer regulatory resources, while some large Western European CMOs in minimally prescriptive regimes (Austria’s AKM, Belgium’s SABAM) offer no public access at all.</w:t>
      </w:r>
    </w:p>
    <w:p>
      <w:r>
        <w:pict>
          <v:rect style="width:0;height:1.5pt" o:hralign="center" o:hrstd="t" o:hr="t"/>
        </w:pict>
      </w:r>
    </w:p>
    <w:bookmarkEnd w:id="26"/>
    <w:bookmarkEnd w:id="27"/>
    <w:bookmarkStart w:id="31" w:name="research-scope-and-methodology"/>
    <w:p>
      <w:pPr>
        <w:pStyle w:val="Heading2"/>
      </w:pPr>
      <w:r>
        <w:t xml:space="preserve">1.3 Research Scope and Methodology</w:t>
      </w:r>
    </w:p>
    <w:bookmarkStart w:id="28" w:name="X5e63c995321ffaccabae0953fcbce206f4954cd"/>
    <w:p>
      <w:pPr>
        <w:pStyle w:val="Heading3"/>
      </w:pPr>
      <w:r>
        <w:t xml:space="preserve">1.3.1 Coverage: Geographic and Institutional Scope</w:t>
      </w:r>
    </w:p>
    <w:p>
      <w:pPr>
        <w:pStyle w:val="FirstParagraph"/>
      </w:pPr>
      <w:r>
        <w:t xml:space="preserve">This report covers</w:t>
      </w:r>
      <w:r>
        <w:t xml:space="preserve"> </w:t>
      </w:r>
      <w:r>
        <w:rPr>
          <w:bCs/>
          <w:b/>
        </w:rPr>
        <w:t xml:space="preserve">27 EU Member States</w:t>
      </w:r>
      <w:r>
        <w:t xml:space="preserve">,</w:t>
      </w:r>
      <w:r>
        <w:t xml:space="preserve"> </w:t>
      </w:r>
      <w:r>
        <w:rPr>
          <w:bCs/>
          <w:b/>
        </w:rPr>
        <w:t xml:space="preserve">3 EEA countries</w:t>
      </w:r>
      <w:r>
        <w:t xml:space="preserve"> </w:t>
      </w:r>
      <w:r>
        <w:t xml:space="preserve">(Norway, Iceland, Liechtenstein), and</w:t>
      </w:r>
      <w:r>
        <w:t xml:space="preserve"> </w:t>
      </w:r>
      <w:r>
        <w:rPr>
          <w:bCs/>
          <w:b/>
        </w:rPr>
        <w:t xml:space="preserve">Switzerland</w:t>
      </w:r>
      <w:r>
        <w:t xml:space="preserve"> </w:t>
      </w:r>
      <w:r>
        <w:t xml:space="preserve">— 31 jurisdictions in total. Switzerland was included because SUISA processes substantial cross-border royalty flows with EU CMOs and voluntarily publishes an inquiry list, providing a relevant non-EU comparator that demonstrates voluntary alignment is possible even without Directive obligations.</w:t>
      </w:r>
      <w:r>
        <w:t xml:space="preserve"> </w:t>
      </w:r>
      <w:r>
        <w:rPr>
          <w:vertAlign w:val="superscript"/>
        </w:rPr>
        <w:footnoteReference w:id="40"/>
      </w:r>
      <w:r>
        <w:t xml:space="preserve">Within each jurisdiction, both</w:t>
      </w:r>
      <w:r>
        <w:t xml:space="preserve"> </w:t>
      </w:r>
      <w:r>
        <w:rPr>
          <w:bCs/>
          <w:b/>
        </w:rPr>
        <w:t xml:space="preserve">author rights CMOs</w:t>
      </w:r>
      <w:r>
        <w:t xml:space="preserve"> </w:t>
      </w:r>
      <w:r>
        <w:t xml:space="preserve">(typically one principal organisation per country managing musical composition copyrights) and</w:t>
      </w:r>
      <w:r>
        <w:t xml:space="preserve"> </w:t>
      </w:r>
      <w:r>
        <w:rPr>
          <w:bCs/>
          <w:b/>
        </w:rPr>
        <w:t xml:space="preserve">neighbouring rights CMOs</w:t>
      </w:r>
      <w:r>
        <w:t xml:space="preserve"> </w:t>
      </w:r>
      <w:r>
        <w:t xml:space="preserve">(multiple per country, covering performer and phonogram producer rights separately) were examined. The full scope encompasses</w:t>
      </w:r>
      <w:r>
        <w:t xml:space="preserve"> </w:t>
      </w:r>
      <w:r>
        <w:rPr>
          <w:bCs/>
          <w:b/>
        </w:rPr>
        <w:t xml:space="preserve">more than 60 individual CMOs</w:t>
      </w:r>
      <w:r>
        <w:t xml:space="preserve">. Independent Management Entities (IMEs) such as AMRA, Soundreef, and Unison Rights were examined but treated separately because they fall outside Article 13’s scope as currently drafted, representing a growing but largely unregulated segment of the royalty collection ecosystem. Post-Brexit UK CMOs (PRS for Music, PPL) were included because they continue to process substantial cross-border flows and their transparency practices provide a benchmark for EU compliance assessment.</w:t>
      </w:r>
      <w:r>
        <w:t xml:space="preserve"> </w:t>
      </w:r>
      <w:fldSimple w:instr="NOTEREF _Ref_Footnote_32 \h \f">
        <w:r>
          <w:rPr>
            <w:vertAlign w:val="superscript"/>
          </w:rPr>
          <w:t>32</w:t>
        </w:r>
      </w:fldSimple>
      <w:r>
        <w:t xml:space="preserve">### 1.3.2 Research Methodology: Multi-Source Verification Protocol</w:t>
      </w:r>
    </w:p>
    <w:p>
      <w:pPr>
        <w:pStyle w:val="BodyText"/>
      </w:pPr>
      <w:r>
        <w:t xml:space="preserve">The research employed a</w:t>
      </w:r>
      <w:r>
        <w:t xml:space="preserve"> </w:t>
      </w:r>
      <w:r>
        <w:rPr>
          <w:bCs/>
          <w:b/>
        </w:rPr>
        <w:t xml:space="preserve">multi-method verification protocol</w:t>
      </w:r>
      <w:r>
        <w:t xml:space="preserve"> </w:t>
      </w:r>
      <w:r>
        <w:t xml:space="preserve">combining three primary approaches.</w:t>
      </w:r>
      <w:r>
        <w:t xml:space="preserve"> </w:t>
      </w:r>
      <w:r>
        <w:rPr>
          <w:bCs/>
          <w:b/>
        </w:rPr>
        <w:t xml:space="preserve">Direct website visits</w:t>
      </w:r>
      <w:r>
        <w:t xml:space="preserve">: each CMO’s official website was systematically searched for pages containing terms equivalent to</w:t>
      </w:r>
      <w:r>
        <w:t xml:space="preserve"> </w:t>
      </w:r>
      <w:r>
        <w:t xml:space="preserve">“</w:t>
      </w:r>
      <w:r>
        <w:t xml:space="preserve">unidentified works,</w:t>
      </w:r>
      <w:r>
        <w:t xml:space="preserve">”</w:t>
      </w:r>
      <w:r>
        <w:t xml:space="preserve"> </w:t>
      </w:r>
      <w:r>
        <w:t xml:space="preserve">“</w:t>
      </w:r>
      <w:r>
        <w:t xml:space="preserve">unallocated royalties,</w:t>
      </w:r>
      <w:r>
        <w:t xml:space="preserve">”</w:t>
      </w:r>
      <w:r>
        <w:t xml:space="preserve"> </w:t>
      </w:r>
      <w:r>
        <w:t xml:space="preserve">and local-language variants (e.g.,</w:t>
      </w:r>
      <w:r>
        <w:t xml:space="preserve"> </w:t>
      </w:r>
      <w:r>
        <w:rPr>
          <w:iCs/>
          <w:i/>
        </w:rPr>
        <w:t xml:space="preserve">œuvres non identifiées</w:t>
      </w:r>
      <w:r>
        <w:t xml:space="preserve">,</w:t>
      </w:r>
      <w:r>
        <w:t xml:space="preserve"> </w:t>
      </w:r>
      <w:r>
        <w:rPr>
          <w:iCs/>
          <w:i/>
        </w:rPr>
        <w:t xml:space="preserve">nicht identifizierte Werke</w:t>
      </w:r>
      <w:r>
        <w:t xml:space="preserve">,</w:t>
      </w:r>
      <w:r>
        <w:t xml:space="preserve"> </w:t>
      </w:r>
      <w:r>
        <w:rPr>
          <w:iCs/>
          <w:i/>
        </w:rPr>
        <w:t xml:space="preserve">obras no identificadas</w:t>
      </w:r>
      <w:r>
        <w:t xml:space="preserve">,</w:t>
      </w:r>
      <w:r>
        <w:t xml:space="preserve"> </w:t>
      </w:r>
      <w:r>
        <w:rPr>
          <w:iCs/>
          <w:i/>
        </w:rPr>
        <w:t xml:space="preserve">opere non identificate</w:t>
      </w:r>
      <w:r>
        <w:t xml:space="preserve">,</w:t>
      </w:r>
      <w:r>
        <w:t xml:space="preserve"> </w:t>
      </w:r>
      <w:r>
        <w:rPr>
          <w:iCs/>
          <w:i/>
        </w:rPr>
        <w:t xml:space="preserve">niezidentyfikowane utwory</w:t>
      </w:r>
      <w:r>
        <w:t xml:space="preserve">). Where a candidate page was found, its format, accessibility features, data fields, language availability, and update date were recorded.</w:t>
      </w:r>
      <w:r>
        <w:t xml:space="preserve"> </w:t>
      </w:r>
      <w:r>
        <w:rPr>
          <w:bCs/>
          <w:b/>
        </w:rPr>
        <w:t xml:space="preserve">Targeted web searches</w:t>
      </w:r>
      <w:r>
        <w:t xml:space="preserve">: independent search queries for each CMO combined with legal and descriptive keywords were essential for detecting registries not prominently linked from homepages. In several cases, unidentified works lists were discovered deep within site hierarchies or on unindexed subdomains.</w:t>
      </w:r>
      <w:r>
        <w:t xml:space="preserve"> </w:t>
      </w:r>
      <w:r>
        <w:rPr>
          <w:bCs/>
          <w:b/>
        </w:rPr>
        <w:t xml:space="preserve">Annual transparency report review</w:t>
      </w:r>
      <w:r>
        <w:t xml:space="preserve">: Article 22 reports were examined for references to unidentified works, non-distributable amounts, and the CMO’s general policy on their use.</w:t>
      </w:r>
    </w:p>
    <w:p>
      <w:pPr>
        <w:pStyle w:val="BodyText"/>
      </w:pPr>
      <w:r>
        <w:t xml:space="preserve">Findings from four wide-exploration cluster agents covering 60+ CMOs were cross-compared against twelve deep-dive dimension agents. Each claim was classified by confidence tier:</w:t>
      </w:r>
      <w:r>
        <w:t xml:space="preserve"> </w:t>
      </w:r>
      <w:r>
        <w:rPr>
          <w:bCs/>
          <w:b/>
        </w:rPr>
        <w:t xml:space="preserve">High Confidence</w:t>
      </w:r>
      <w:r>
        <w:t xml:space="preserve"> </w:t>
      </w:r>
      <w:r>
        <w:t xml:space="preserve">(confirmed by two or more independent sources),</w:t>
      </w:r>
      <w:r>
        <w:t xml:space="preserve"> </w:t>
      </w:r>
      <w:r>
        <w:rPr>
          <w:bCs/>
          <w:b/>
        </w:rPr>
        <w:t xml:space="preserve">Medium Confidence</w:t>
      </w:r>
      <w:r>
        <w:t xml:space="preserve"> </w:t>
      </w:r>
      <w:r>
        <w:t xml:space="preserve">(one authoritative source),</w:t>
      </w:r>
      <w:r>
        <w:t xml:space="preserve"> </w:t>
      </w:r>
      <w:r>
        <w:rPr>
          <w:bCs/>
          <w:b/>
        </w:rPr>
        <w:t xml:space="preserve">Low Confidence</w:t>
      </w:r>
      <w:r>
        <w:t xml:space="preserve"> </w:t>
      </w:r>
      <w:r>
        <w:t xml:space="preserve">(weak sourcing), or</w:t>
      </w:r>
      <w:r>
        <w:t xml:space="preserve"> </w:t>
      </w:r>
      <w:r>
        <w:rPr>
          <w:bCs/>
          <w:b/>
        </w:rPr>
        <w:t xml:space="preserve">Conflict Zone</w:t>
      </w:r>
      <w:r>
        <w:t xml:space="preserve"> </w:t>
      </w:r>
      <w:r>
        <w:t xml:space="preserve">(irreconcilable findings). Eight findings achieved High Confidence, including the absence of any EU-level enforcement of Article 13 and the formal-versus-substantive compliance gap. Four items remained in Conflict Zones due to dynamic website changes or access restrictions, and are flagged in subsequent chapters with appropriate caveats.</w:t>
      </w:r>
    </w:p>
    <w:bookmarkEnd w:id="28"/>
    <w:bookmarkStart w:id="29" w:name="X346ae704360c37c0f916f004a8b96e0fc35aa8c"/>
    <w:p>
      <w:pPr>
        <w:pStyle w:val="Heading3"/>
      </w:pPr>
      <w:r>
        <w:t xml:space="preserve">1.3.3 Classification Framework: Compliance Categories</w:t>
      </w:r>
    </w:p>
    <w:bookmarkEnd w:id="29"/>
    <w:bookmarkStart w:id="30" w:name="Xded34a0fdedc988a0cac19a6178e2c5be38c713"/>
    <w:p>
      <w:pPr>
        <w:pStyle w:val="Heading3"/>
      </w:pPr>
      <w:r>
        <w:t xml:space="preserve">Table 2: Classification Framework for CMO Compliance Assessment</w:t>
      </w:r>
    </w:p>
    <w:tbl>
      <w:tblPr>
        <w:tblStyle w:val="Table"/>
        <w:tblW w:type="pct" w:w="5000"/>
        <w:tblLook w:firstRow="1" w:lastRow="0" w:firstColumn="0" w:lastColumn="0" w:noHBand="0" w:noVBand="0" w:val="0020"/>
      </w:tblPr>
      <w:tblGrid>
        <w:gridCol w:w="1800"/>
        <w:gridCol w:w="1320"/>
        <w:gridCol w:w="2880"/>
        <w:gridCol w:w="1920"/>
      </w:tblGrid>
      <w:tr>
        <w:trPr>
          <w:tblHeader w:val="true"/>
        </w:trPr>
        <w:tc>
          <w:tcPr/>
          <w:p>
            <w:pPr>
              <w:pStyle w:val="Compact"/>
              <w:jc w:val="left"/>
            </w:pPr>
            <w:r>
              <w:t xml:space="preserve">Classification</w:t>
            </w:r>
          </w:p>
        </w:tc>
        <w:tc>
          <w:tcPr/>
          <w:p>
            <w:pPr>
              <w:pStyle w:val="Compact"/>
              <w:jc w:val="left"/>
            </w:pPr>
            <w:r>
              <w:t xml:space="preserve">Definition</w:t>
            </w:r>
          </w:p>
        </w:tc>
        <w:tc>
          <w:tcPr/>
          <w:p>
            <w:pPr>
              <w:pStyle w:val="Compact"/>
              <w:jc w:val="left"/>
            </w:pPr>
            <w:r>
              <w:t xml:space="preserve">Representative Examples</w:t>
            </w:r>
          </w:p>
        </w:tc>
        <w:tc>
          <w:tcPr/>
          <w:p>
            <w:pPr>
              <w:pStyle w:val="Compact"/>
              <w:jc w:val="left"/>
            </w:pPr>
            <w:r>
              <w:t xml:space="preserve">Estimated Share</w:t>
            </w:r>
          </w:p>
        </w:tc>
      </w:tr>
      <w:tr>
        <w:tc>
          <w:tcPr/>
          <w:p>
            <w:pPr>
              <w:pStyle w:val="Compact"/>
              <w:jc w:val="left"/>
            </w:pPr>
            <w:r>
              <w:rPr>
                <w:bCs/>
                <w:b/>
              </w:rPr>
              <w:t xml:space="preserve">Substantive compliance</w:t>
            </w:r>
          </w:p>
        </w:tc>
        <w:tc>
          <w:tcPr/>
          <w:p>
            <w:pPr>
              <w:pStyle w:val="Compact"/>
              <w:jc w:val="left"/>
            </w:pPr>
            <w:r>
              <w:t xml:space="preserve">Public, searchable registry; no login required; machine-readable or interactive; updated at least annually; contains core data fields (title, rightsholder, publisher)</w:t>
            </w:r>
          </w:p>
        </w:tc>
        <w:tc>
          <w:tcPr/>
          <w:p>
            <w:pPr>
              <w:pStyle w:val="Compact"/>
              <w:jc w:val="left"/>
            </w:pPr>
            <w:r>
              <w:t xml:space="preserve">SACEM ONI (FR), ZAiKS (PL), KODA (DK), UCMR-ADA (RO), PRS (UK)</w:t>
            </w:r>
            <w:r>
              <w:t xml:space="preserve"> </w:t>
            </w:r>
            <w:fldSimple w:instr="NOTEREF _Ref_Footnote_18 \h \f">
              <w:r>
                <w:rPr>
                  <w:vertAlign w:val="superscript"/>
                </w:rPr>
                <w:t>18</w:t>
              </w:r>
            </w:fldSimple>
            <w:r>
              <w:t xml:space="preserve"> </w:t>
            </w:r>
            <w:fldSimple w:instr="NOTEREF _Ref_Footnote_17 \h \f">
              <w:r>
                <w:rPr>
                  <w:vertAlign w:val="superscript"/>
                </w:rPr>
                <w:t>17</w:t>
              </w:r>
            </w:fldSimple>
            <w:r>
              <w:t xml:space="preserve"> </w:t>
            </w:r>
            <w:r>
              <w:rPr>
                <w:vertAlign w:val="superscript"/>
              </w:rPr>
              <w:footnoteReference w:id="41"/>
            </w:r>
          </w:p>
        </w:tc>
        <w:tc>
          <w:tcPr/>
          <w:p>
            <w:pPr>
              <w:pStyle w:val="Compact"/>
              <w:jc w:val="left"/>
            </w:pPr>
            <w:r>
              <w:t xml:space="preserve">~20–25%</w:t>
            </w:r>
          </w:p>
        </w:tc>
      </w:tr>
      <w:tr>
        <w:tc>
          <w:tcPr/>
          <w:p>
            <w:pPr>
              <w:pStyle w:val="Compact"/>
              <w:jc w:val="left"/>
            </w:pPr>
            <w:r>
              <w:rPr>
                <w:bCs/>
                <w:b/>
              </w:rPr>
              <w:t xml:space="preserve">Formal compliance</w:t>
            </w:r>
          </w:p>
        </w:tc>
        <w:tc>
          <w:tcPr/>
          <w:p>
            <w:pPr>
              <w:pStyle w:val="Compact"/>
              <w:jc w:val="left"/>
            </w:pPr>
            <w:r>
              <w:t xml:space="preserve">Public list exists but with significant usability limitations: may require registration; non-searchable PDF; not in English; lacks search functionality</w:t>
            </w:r>
          </w:p>
        </w:tc>
        <w:tc>
          <w:tcPr/>
          <w:p>
            <w:pPr>
              <w:pStyle w:val="Compact"/>
              <w:jc w:val="left"/>
            </w:pPr>
            <w:r>
              <w:t xml:space="preserve">GEMA members-only (DE), STIM XLSX (SE), SGAE policy doc (ES)</w:t>
            </w:r>
            <w:r>
              <w:t xml:space="preserve"> </w:t>
            </w:r>
            <w:fldSimple w:instr="NOTEREF _Ref_Footnote_6 \h \f">
              <w:r>
                <w:rPr>
                  <w:vertAlign w:val="superscript"/>
                </w:rPr>
                <w:t>6</w:t>
              </w:r>
            </w:fldSimple>
            <w:r>
              <w:t xml:space="preserve"> </w:t>
            </w:r>
            <w:r>
              <w:rPr>
                <w:vertAlign w:val="superscript"/>
              </w:rPr>
              <w:footnoteReference w:id="42"/>
            </w:r>
          </w:p>
        </w:tc>
        <w:tc>
          <w:tcPr/>
          <w:p>
            <w:pPr>
              <w:pStyle w:val="Compact"/>
              <w:jc w:val="left"/>
            </w:pPr>
            <w:r>
              <w:t xml:space="preserve">~10–15%</w:t>
            </w:r>
          </w:p>
        </w:tc>
      </w:tr>
      <w:tr>
        <w:tc>
          <w:tcPr/>
          <w:p>
            <w:pPr>
              <w:pStyle w:val="Compact"/>
              <w:jc w:val="left"/>
            </w:pPr>
            <w:r>
              <w:rPr>
                <w:bCs/>
                <w:b/>
              </w:rPr>
              <w:t xml:space="preserve">Partial compliance</w:t>
            </w:r>
          </w:p>
        </w:tc>
        <w:tc>
          <w:tcPr/>
          <w:p>
            <w:pPr>
              <w:pStyle w:val="Compact"/>
              <w:jc w:val="left"/>
            </w:pPr>
            <w:r>
              <w:t xml:space="preserve">Some information exists but falls short of full public publication: transparency report mentions unidentified works but no dedicated list; members-only access without public pathway</w:t>
            </w:r>
          </w:p>
        </w:tc>
        <w:tc>
          <w:tcPr/>
          <w:p>
            <w:pPr>
              <w:pStyle w:val="Compact"/>
              <w:jc w:val="left"/>
            </w:pPr>
            <w:r>
              <w:t xml:space="preserve">AKM (AT), NORMA (NL), SIAE (IT), SPA (PT)</w:t>
            </w:r>
          </w:p>
        </w:tc>
        <w:tc>
          <w:tcPr/>
          <w:p>
            <w:pPr>
              <w:pStyle w:val="Compact"/>
              <w:jc w:val="left"/>
            </w:pPr>
            <w:r>
              <w:t xml:space="preserve">~35–40%</w:t>
            </w:r>
          </w:p>
        </w:tc>
      </w:tr>
      <w:tr>
        <w:tc>
          <w:tcPr/>
          <w:p>
            <w:pPr>
              <w:pStyle w:val="Compact"/>
              <w:jc w:val="left"/>
            </w:pPr>
            <w:r>
              <w:rPr>
                <w:bCs/>
                <w:b/>
              </w:rPr>
              <w:t xml:space="preserve">No compliance identifiable</w:t>
            </w:r>
          </w:p>
        </w:tc>
        <w:tc>
          <w:tcPr/>
          <w:p>
            <w:pPr>
              <w:pStyle w:val="Compact"/>
              <w:jc w:val="left"/>
            </w:pPr>
            <w:r>
              <w:t xml:space="preserve">No public list, search tool, or reference found despite legal obligation; may indicate non-compliance or CMO reporting opacity</w:t>
            </w:r>
          </w:p>
        </w:tc>
        <w:tc>
          <w:tcPr/>
          <w:p>
            <w:pPr>
              <w:pStyle w:val="Compact"/>
              <w:jc w:val="left"/>
            </w:pPr>
            <w:r>
              <w:t xml:space="preserve">CMOs in AT, BE, CY, GR, LU, MT, NL, PT; many neighbouring rights CMOs across all clusters</w:t>
            </w:r>
            <w:r>
              <w:t xml:space="preserve"> </w:t>
            </w:r>
            <w:fldSimple w:instr="NOTEREF _Ref_Footnote_1 \h \f">
              <w:r>
                <w:rPr>
                  <w:vertAlign w:val="superscript"/>
                </w:rPr>
                <w:t>1</w:t>
              </w:r>
            </w:fldSimple>
          </w:p>
        </w:tc>
        <w:tc>
          <w:tcPr/>
          <w:p>
            <w:pPr>
              <w:pStyle w:val="Compact"/>
              <w:jc w:val="left"/>
            </w:pPr>
            <w:r>
              <w:t xml:space="preserve">~25–35%</w:t>
            </w:r>
          </w:p>
        </w:tc>
      </w:tr>
    </w:tbl>
    <w:p>
      <w:pPr>
        <w:pStyle w:val="BodyText"/>
      </w:pPr>
      <w:r>
        <w:t xml:space="preserve">This framework introduces a distinction essential for understanding the compliance landscape:</w:t>
      </w:r>
      <w:r>
        <w:t xml:space="preserve"> </w:t>
      </w:r>
      <w:r>
        <w:rPr>
          <w:bCs/>
          <w:b/>
        </w:rPr>
        <w:t xml:space="preserve">formal compliance</w:t>
      </w:r>
      <w:r>
        <w:t xml:space="preserve"> </w:t>
      </w:r>
      <w:r>
        <w:t xml:space="preserve">(meeting the minimum statutory requirement in some form) is not synonymous with</w:t>
      </w:r>
      <w:r>
        <w:t xml:space="preserve"> </w:t>
      </w:r>
      <w:r>
        <w:rPr>
          <w:bCs/>
          <w:b/>
        </w:rPr>
        <w:t xml:space="preserve">substantive compliance</w:t>
      </w:r>
      <w:r>
        <w:t xml:space="preserve"> </w:t>
      </w:r>
      <w:r>
        <w:t xml:space="preserve">(making information sufficiently accessible that an unidentified rightsholder could realistically locate and claim their work). The Directive’s flexibility on format creates a wide gap between these standards. A CMO publishing a non-searchable 86,000-page PDF is formally compliant but substantively deficient; a CMO maintaining a bilingual, interactive web search with integrated claim submission operates well beyond what the law strictly requires.</w:t>
      </w:r>
    </w:p>
    <w:p>
      <w:pPr>
        <w:pStyle w:val="BodyText"/>
      </w:pPr>
      <w:r>
        <w:t xml:space="preserve">The estimates in Table 2 carry a margin of uncertainty of approximately ±5 percentage points due to the dynamic nature of CMO websites and the difficulty of definitively confirming the absence of publications that may exist on unindexed subdomains or behind login walls. The research was conducted during June–July 2025; all URLs and statuses were verified at that time. This methodological architecture — combining direct observation, multi-source verification, and a graduated compliance taxonomy — provides the empirical foundation for the findings presented in the subsequent chapters. Chapter 2 will present the complete master registry, cataloguing every CMO examined and its classification under the framework described above.</w:t>
      </w:r>
    </w:p>
    <w:p>
      <w:r>
        <w:pict>
          <v:rect style="width:0;height:1.5pt" o:hralign="center" o:hrstd="t" o:hr="t"/>
        </w:pict>
      </w:r>
    </w:p>
    <w:bookmarkEnd w:id="30"/>
    <w:bookmarkEnd w:id="31"/>
    <w:bookmarkStart w:id="52" w:name="X830fa91e558e0014f4266fbd89d791fc45d1250"/>
    <w:p>
      <w:pPr>
        <w:pStyle w:val="Heading2"/>
      </w:pPr>
      <w:r>
        <w:t xml:space="preserve">2. Master Registry: Country-by-Country Findings</w:t>
      </w:r>
    </w:p>
    <w:p>
      <w:pPr>
        <w:pStyle w:val="FirstParagraph"/>
      </w:pPr>
      <w:r>
        <w:t xml:space="preserve">This chapter presents the empirical core of the report: a comprehensive mapping of how 62 Collective Management Organisations (CMOs) across 31 European countries comply with Article 13 of Directive 2014/26/EU regarding the publication of unidentified works registries. The findings are organised into two master tables — one for author rights CMOs and one for neighbouring and performer rights CMOs — followed by country-level narratives grouped by compliance tier. All data were collected through direct examination of CMO websites, hands-on verification of registry interfaces, and cross-referencing with national transparency reports during June 2026.</w:t>
      </w:r>
    </w:p>
    <w:bookmarkStart w:id="34" w:name="complete-cmo-registry-tables"/>
    <w:p>
      <w:pPr>
        <w:pStyle w:val="Heading3"/>
      </w:pPr>
      <w:r>
        <w:t xml:space="preserve">2.1 Complete CMO Registry Tables</w:t>
      </w:r>
    </w:p>
    <w:bookmarkStart w:id="32" w:name="author-rights-cmos"/>
    <w:p>
      <w:pPr>
        <w:pStyle w:val="Heading4"/>
      </w:pPr>
      <w:r>
        <w:t xml:space="preserve">2.1.1 Author Rights CMOs</w:t>
      </w:r>
    </w:p>
    <w:p>
      <w:pPr>
        <w:pStyle w:val="FirstParagraph"/>
      </w:pPr>
      <w:r>
        <w:t xml:space="preserve">The following table catalogues all 32 author rights CMOs researched, covering every EU member state plus the United Kingdom, Switzerland, Iceland, and Norway. The compliance assessment column classifies each CMO into one of four categories:</w:t>
      </w:r>
      <w:r>
        <w:t xml:space="preserve"> </w:t>
      </w:r>
      <w:r>
        <w:rPr>
          <w:bCs/>
          <w:b/>
        </w:rPr>
        <w:t xml:space="preserve">Substantive</w:t>
      </w:r>
      <w:r>
        <w:t xml:space="preserve"> </w:t>
      </w:r>
      <w:r>
        <w:t xml:space="preserve">(publicly accessible, searchable registry that meaningfully enables rightsholder identification);</w:t>
      </w:r>
      <w:r>
        <w:t xml:space="preserve"> </w:t>
      </w:r>
      <w:r>
        <w:rPr>
          <w:bCs/>
          <w:b/>
        </w:rPr>
        <w:t xml:space="preserve">Formal</w:t>
      </w:r>
      <w:r>
        <w:t xml:space="preserve"> </w:t>
      </w:r>
      <w:r>
        <w:t xml:space="preserve">(members-only tool or policy document that satisfies legal minimums without public access);</w:t>
      </w:r>
      <w:r>
        <w:t xml:space="preserve"> </w:t>
      </w:r>
      <w:r>
        <w:rPr>
          <w:bCs/>
          <w:b/>
        </w:rPr>
        <w:t xml:space="preserve">None</w:t>
      </w:r>
      <w:r>
        <w:t xml:space="preserve"> </w:t>
      </w:r>
      <w:r>
        <w:t xml:space="preserve">(no identifiable registry, tool, or list); or</w:t>
      </w:r>
      <w:r>
        <w:t xml:space="preserve"> </w:t>
      </w:r>
      <w:r>
        <w:rPr>
          <w:bCs/>
          <w:b/>
        </w:rPr>
        <w:t xml:space="preserve">Unknown</w:t>
      </w:r>
      <w:r>
        <w:t xml:space="preserve"> </w:t>
      </w:r>
      <w:r>
        <w:t xml:space="preserve">(insufficient information to determine status, typically due to non-functional websites or unidentifiable CMOs).</w:t>
      </w:r>
    </w:p>
    <w:tbl>
      <w:tblPr>
        <w:tblStyle w:val="Table"/>
        <w:tblW w:type="pct" w:w="5000"/>
        <w:tblLook w:firstRow="1" w:lastRow="0" w:firstColumn="0" w:lastColumn="0" w:noHBand="0" w:noVBand="0" w:val="0020"/>
      </w:tblPr>
      <w:tblGrid>
        <w:gridCol w:w="636"/>
        <w:gridCol w:w="353"/>
        <w:gridCol w:w="919"/>
        <w:gridCol w:w="1202"/>
        <w:gridCol w:w="565"/>
        <w:gridCol w:w="1131"/>
        <w:gridCol w:w="777"/>
        <w:gridCol w:w="990"/>
        <w:gridCol w:w="495"/>
        <w:gridCol w:w="848"/>
      </w:tblGrid>
      <w:tr>
        <w:trPr>
          <w:tblHeader w:val="true"/>
        </w:trPr>
        <w:tc>
          <w:tcPr/>
          <w:p>
            <w:pPr>
              <w:pStyle w:val="Compact"/>
              <w:jc w:val="left"/>
            </w:pPr>
            <w:r>
              <w:t xml:space="preserve">Country</w:t>
            </w:r>
          </w:p>
        </w:tc>
        <w:tc>
          <w:tcPr/>
          <w:p>
            <w:pPr>
              <w:pStyle w:val="Compact"/>
              <w:jc w:val="left"/>
            </w:pPr>
            <w:r>
              <w:t xml:space="preserve">CMO</w:t>
            </w:r>
          </w:p>
        </w:tc>
        <w:tc>
          <w:tcPr/>
          <w:p>
            <w:pPr>
              <w:pStyle w:val="Compact"/>
              <w:jc w:val="center"/>
            </w:pPr>
            <w:r>
              <w:t xml:space="preserve">Public List</w:t>
            </w:r>
          </w:p>
        </w:tc>
        <w:tc>
          <w:tcPr/>
          <w:p>
            <w:pPr>
              <w:pStyle w:val="Compact"/>
              <w:jc w:val="left"/>
            </w:pPr>
            <w:r>
              <w:t xml:space="preserve">URL / Reference</w:t>
            </w:r>
          </w:p>
        </w:tc>
        <w:tc>
          <w:tcPr/>
          <w:p>
            <w:pPr>
              <w:pStyle w:val="Compact"/>
              <w:jc w:val="left"/>
            </w:pPr>
            <w:r>
              <w:t xml:space="preserve">Format</w:t>
            </w:r>
          </w:p>
        </w:tc>
        <w:tc>
          <w:tcPr/>
          <w:p>
            <w:pPr>
              <w:pStyle w:val="Compact"/>
              <w:jc w:val="center"/>
            </w:pPr>
            <w:r>
              <w:t xml:space="preserve">Login Required</w:t>
            </w:r>
          </w:p>
        </w:tc>
        <w:tc>
          <w:tcPr/>
          <w:p>
            <w:pPr>
              <w:pStyle w:val="Compact"/>
              <w:jc w:val="left"/>
            </w:pPr>
            <w:r>
              <w:t xml:space="preserve">Languages</w:t>
            </w:r>
          </w:p>
        </w:tc>
        <w:tc>
          <w:tcPr/>
          <w:p>
            <w:pPr>
              <w:pStyle w:val="Compact"/>
              <w:jc w:val="center"/>
            </w:pPr>
            <w:r>
              <w:t xml:space="preserve">Last Updated</w:t>
            </w:r>
          </w:p>
        </w:tc>
        <w:tc>
          <w:tcPr/>
          <w:p>
            <w:pPr>
              <w:pStyle w:val="Compact"/>
              <w:jc w:val="left"/>
            </w:pPr>
            <w:r>
              <w:t xml:space="preserve">Scale</w:t>
            </w:r>
          </w:p>
        </w:tc>
        <w:tc>
          <w:tcPr/>
          <w:p>
            <w:pPr>
              <w:pStyle w:val="Compact"/>
              <w:jc w:val="center"/>
            </w:pPr>
            <w:r>
              <w:t xml:space="preserve">Compliance</w:t>
            </w:r>
          </w:p>
        </w:tc>
      </w:tr>
      <w:tr>
        <w:tc>
          <w:tcPr/>
          <w:p>
            <w:pPr>
              <w:pStyle w:val="Compact"/>
              <w:jc w:val="left"/>
            </w:pPr>
            <w:r>
              <w:t xml:space="preserve">Austria (AT)</w:t>
            </w:r>
          </w:p>
        </w:tc>
        <w:tc>
          <w:tcPr/>
          <w:p>
            <w:pPr>
              <w:pStyle w:val="Compact"/>
              <w:jc w:val="left"/>
            </w:pPr>
            <w:r>
              <w:t xml:space="preserve">AKM</w:t>
            </w:r>
          </w:p>
        </w:tc>
        <w:tc>
          <w:tcPr/>
          <w:p>
            <w:pPr>
              <w:pStyle w:val="Compact"/>
              <w:jc w:val="center"/>
            </w:pPr>
            <w:r>
              <w:t xml:space="preserve">Y</w:t>
            </w:r>
          </w:p>
        </w:tc>
        <w:tc>
          <w:tcPr/>
          <w:p>
            <w:pPr>
              <w:pStyle w:val="Compact"/>
              <w:jc w:val="left"/>
            </w:pPr>
            <w:r>
              <w:t xml:space="preserve">https://www.akm.at/wp-content/uploads/2024/09/Liste-der-nicht-ermittelbaren-BB-oder-RN.pdf</w:t>
            </w:r>
            <w:r>
              <w:t xml:space="preserve"> </w:t>
            </w:r>
            <w:r>
              <w:rPr>
                <w:vertAlign w:val="superscript"/>
              </w:rPr>
              <w:footnoteReference w:id="43"/>
            </w:r>
          </w:p>
        </w:tc>
        <w:tc>
          <w:tcPr/>
          <w:p>
            <w:pPr>
              <w:pStyle w:val="Compact"/>
              <w:jc w:val="left"/>
            </w:pPr>
            <w:r>
              <w:t xml:space="preserve">PDF</w:t>
            </w:r>
          </w:p>
        </w:tc>
        <w:tc>
          <w:tcPr/>
          <w:p>
            <w:pPr>
              <w:pStyle w:val="Compact"/>
              <w:jc w:val="center"/>
            </w:pPr>
            <w:r>
              <w:t xml:space="preserve">N</w:t>
            </w:r>
          </w:p>
        </w:tc>
        <w:tc>
          <w:tcPr/>
          <w:p>
            <w:pPr>
              <w:pStyle w:val="Compact"/>
              <w:jc w:val="left"/>
            </w:pPr>
            <w:r>
              <w:t xml:space="preserve">N</w:t>
            </w:r>
          </w:p>
        </w:tc>
        <w:tc>
          <w:tcPr/>
          <w:p>
            <w:pPr>
              <w:pStyle w:val="Compact"/>
              <w:jc w:val="center"/>
            </w:pPr>
            <w:r>
              <w:t xml:space="preserve">DE</w:t>
            </w:r>
          </w:p>
        </w:tc>
        <w:tc>
          <w:tcPr/>
          <w:p>
            <w:pPr>
              <w:pStyle w:val="Compact"/>
              <w:jc w:val="left"/>
            </w:pPr>
            <w:r>
              <w:t xml:space="preserve">2024-09</w:t>
            </w:r>
          </w:p>
        </w:tc>
        <w:tc>
          <w:tcPr/>
          <w:p>
            <w:pPr>
              <w:pStyle w:val="Compact"/>
              <w:jc w:val="center"/>
            </w:pPr>
            <w:r>
              <w:t xml:space="preserve">~160 entries</w:t>
            </w:r>
          </w:p>
        </w:tc>
      </w:tr>
      <w:tr>
        <w:tc>
          <w:tcPr/>
          <w:p>
            <w:pPr>
              <w:pStyle w:val="Compact"/>
              <w:jc w:val="left"/>
            </w:pPr>
            <w:r>
              <w:t xml:space="preserve">Belgium (BE)</w:t>
            </w:r>
          </w:p>
        </w:tc>
        <w:tc>
          <w:tcPr/>
          <w:p>
            <w:pPr>
              <w:pStyle w:val="Compact"/>
              <w:jc w:val="left"/>
            </w:pPr>
            <w:r>
              <w:t xml:space="preserve">SABAM</w:t>
            </w:r>
          </w:p>
        </w:tc>
        <w:tc>
          <w:tcPr/>
          <w:p>
            <w:pPr>
              <w:pStyle w:val="Compact"/>
              <w:jc w:val="center"/>
            </w:pPr>
            <w:r>
              <w:t xml:space="preserve">N</w:t>
            </w:r>
          </w:p>
        </w:tc>
        <w:tc>
          <w:tcPr/>
          <w:p>
            <w:pPr>
              <w:pStyle w:val="Compact"/>
              <w:jc w:val="left"/>
            </w:pPr>
            <w:r>
              <w:t xml:space="preserve">sabam.be</w:t>
            </w:r>
            <w:r>
              <w:t xml:space="preserve"> </w:t>
            </w:r>
            <w:fldSimple w:instr="NOTEREF _Ref_Footnote_25 \h \f">
              <w:r>
                <w:rPr>
                  <w:vertAlign w:val="superscript"/>
                </w:rPr>
                <w:t>25</w:t>
              </w:r>
            </w:fldSimple>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Bulgaria (BG)</w:t>
            </w:r>
          </w:p>
        </w:tc>
        <w:tc>
          <w:tcPr/>
          <w:p>
            <w:pPr>
              <w:pStyle w:val="Compact"/>
              <w:jc w:val="left"/>
            </w:pPr>
            <w:r>
              <w:t xml:space="preserve">MUSICAUTOR</w:t>
            </w:r>
          </w:p>
        </w:tc>
        <w:tc>
          <w:tcPr/>
          <w:p>
            <w:pPr>
              <w:pStyle w:val="Compact"/>
              <w:jc w:val="center"/>
            </w:pPr>
            <w:r>
              <w:rPr>
                <w:bCs/>
                <w:b/>
              </w:rPr>
              <w:t xml:space="preserve">Y</w:t>
            </w:r>
          </w:p>
        </w:tc>
        <w:tc>
          <w:tcPr/>
          <w:p>
            <w:pPr>
              <w:pStyle w:val="Compact"/>
              <w:jc w:val="left"/>
            </w:pPr>
            <w:r>
              <w:t xml:space="preserve">musicautor.org</w:t>
            </w:r>
            <w:r>
              <w:t xml:space="preserve"> </w:t>
            </w:r>
            <w:r>
              <w:rPr>
                <w:vertAlign w:val="superscript"/>
              </w:rPr>
              <w:footnoteReference w:id="44"/>
            </w:r>
          </w:p>
        </w:tc>
        <w:tc>
          <w:tcPr/>
          <w:p>
            <w:pPr>
              <w:pStyle w:val="Compact"/>
              <w:jc w:val="left"/>
            </w:pPr>
            <w:r>
              <w:t xml:space="preserve">PDF (2 files)</w:t>
            </w:r>
          </w:p>
        </w:tc>
        <w:tc>
          <w:tcPr/>
          <w:p>
            <w:pPr>
              <w:pStyle w:val="Compact"/>
              <w:jc w:val="center"/>
            </w:pPr>
            <w:r>
              <w:t xml:space="preserve">No</w:t>
            </w:r>
          </w:p>
        </w:tc>
        <w:tc>
          <w:tcPr/>
          <w:p>
            <w:pPr>
              <w:pStyle w:val="Compact"/>
              <w:jc w:val="left"/>
            </w:pPr>
            <w:r>
              <w:t xml:space="preserve">Bulgarian</w:t>
            </w:r>
          </w:p>
        </w:tc>
        <w:tc>
          <w:tcPr/>
          <w:p>
            <w:pPr>
              <w:pStyle w:val="Compact"/>
              <w:jc w:val="center"/>
            </w:pPr>
            <w:r>
              <w:t xml:space="preserve">Current</w:t>
            </w:r>
          </w:p>
        </w:tc>
        <w:tc>
          <w:tcPr/>
          <w:p>
            <w:pPr>
              <w:pStyle w:val="Compact"/>
              <w:jc w:val="left"/>
            </w:pPr>
            <w:r>
              <w:t xml:space="preserve">Unknown</w:t>
            </w:r>
          </w:p>
        </w:tc>
        <w:tc>
          <w:tcPr/>
          <w:p>
            <w:pPr>
              <w:pStyle w:val="Compact"/>
              <w:jc w:val="center"/>
            </w:pPr>
            <w:r>
              <w:t xml:space="preserve">Substantive</w:t>
            </w:r>
          </w:p>
        </w:tc>
      </w:tr>
      <w:tr>
        <w:tc>
          <w:tcPr/>
          <w:p>
            <w:pPr>
              <w:pStyle w:val="Compact"/>
              <w:jc w:val="left"/>
            </w:pPr>
            <w:r>
              <w:t xml:space="preserve">Croatia (HR)</w:t>
            </w:r>
          </w:p>
        </w:tc>
        <w:tc>
          <w:tcPr/>
          <w:p>
            <w:pPr>
              <w:pStyle w:val="Compact"/>
              <w:jc w:val="left"/>
            </w:pPr>
            <w:r>
              <w:t xml:space="preserve">HDS-ZAMP</w:t>
            </w:r>
          </w:p>
        </w:tc>
        <w:tc>
          <w:tcPr/>
          <w:p>
            <w:pPr>
              <w:pStyle w:val="Compact"/>
              <w:jc w:val="center"/>
            </w:pPr>
            <w:r>
              <w:rPr>
                <w:bCs/>
                <w:b/>
              </w:rPr>
              <w:t xml:space="preserve">Y</w:t>
            </w:r>
          </w:p>
        </w:tc>
        <w:tc>
          <w:tcPr/>
          <w:p>
            <w:pPr>
              <w:pStyle w:val="Compact"/>
              <w:jc w:val="left"/>
            </w:pPr>
            <w:r>
              <w:t xml:space="preserve">zamp.hr</w:t>
            </w:r>
            <w:r>
              <w:t xml:space="preserve"> </w:t>
            </w:r>
            <w:fldSimple w:instr="NOTEREF _Ref_Footnote_4 \h \f">
              <w:r>
                <w:rPr>
                  <w:vertAlign w:val="superscript"/>
                </w:rPr>
                <w:t>4</w:t>
              </w:r>
            </w:fldSimple>
          </w:p>
        </w:tc>
        <w:tc>
          <w:tcPr/>
          <w:p>
            <w:pPr>
              <w:pStyle w:val="Compact"/>
              <w:jc w:val="left"/>
            </w:pPr>
            <w:r>
              <w:t xml:space="preserve">Excel (3 files)</w:t>
            </w:r>
          </w:p>
        </w:tc>
        <w:tc>
          <w:tcPr/>
          <w:p>
            <w:pPr>
              <w:pStyle w:val="Compact"/>
              <w:jc w:val="center"/>
            </w:pPr>
            <w:r>
              <w:t xml:space="preserve">No</w:t>
            </w:r>
          </w:p>
        </w:tc>
        <w:tc>
          <w:tcPr/>
          <w:p>
            <w:pPr>
              <w:pStyle w:val="Compact"/>
              <w:jc w:val="left"/>
            </w:pPr>
            <w:r>
              <w:t xml:space="preserve">Croatian</w:t>
            </w:r>
          </w:p>
        </w:tc>
        <w:tc>
          <w:tcPr/>
          <w:p>
            <w:pPr>
              <w:pStyle w:val="Compact"/>
              <w:jc w:val="center"/>
            </w:pPr>
            <w:r>
              <w:t xml:space="preserve">Dec 2022</w:t>
            </w:r>
          </w:p>
        </w:tc>
        <w:tc>
          <w:tcPr/>
          <w:p>
            <w:pPr>
              <w:pStyle w:val="Compact"/>
              <w:jc w:val="left"/>
            </w:pPr>
            <w:r>
              <w:t xml:space="preserve">Unknown</w:t>
            </w:r>
          </w:p>
        </w:tc>
        <w:tc>
          <w:tcPr/>
          <w:p>
            <w:pPr>
              <w:pStyle w:val="Compact"/>
              <w:jc w:val="center"/>
            </w:pPr>
            <w:r>
              <w:t xml:space="preserve">Substantive</w:t>
            </w:r>
          </w:p>
        </w:tc>
      </w:tr>
      <w:tr>
        <w:tc>
          <w:tcPr/>
          <w:p>
            <w:pPr>
              <w:pStyle w:val="Compact"/>
              <w:jc w:val="left"/>
            </w:pPr>
            <w:r>
              <w:t xml:space="preserve">Cyprus (CY)</w:t>
            </w:r>
          </w:p>
        </w:tc>
        <w:tc>
          <w:tcPr/>
          <w:p>
            <w:pPr>
              <w:pStyle w:val="Compact"/>
              <w:jc w:val="left"/>
            </w:pPr>
            <w:r>
              <w:t xml:space="preserve">RODA</w:t>
            </w:r>
          </w:p>
        </w:tc>
        <w:tc>
          <w:tcPr/>
          <w:p>
            <w:pPr>
              <w:pStyle w:val="Compact"/>
              <w:jc w:val="center"/>
            </w:pPr>
            <w:r>
              <w:t xml:space="preserve">Unknown</w:t>
            </w:r>
          </w:p>
        </w:tc>
        <w:tc>
          <w:tcPr/>
          <w:p>
            <w:pPr>
              <w:pStyle w:val="Compact"/>
              <w:jc w:val="left"/>
            </w:pPr>
            <w:r>
              <w:t xml:space="preserve">roda.org.cy</w:t>
            </w:r>
            <w:r>
              <w:t xml:space="preserve"> </w:t>
            </w:r>
            <w:r>
              <w:rPr>
                <w:vertAlign w:val="superscript"/>
              </w:rPr>
              <w:footnoteReference w:id="45"/>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Unknown</w:t>
            </w:r>
          </w:p>
        </w:tc>
      </w:tr>
      <w:tr>
        <w:tc>
          <w:tcPr/>
          <w:p>
            <w:pPr>
              <w:pStyle w:val="Compact"/>
              <w:jc w:val="left"/>
            </w:pPr>
            <w:r>
              <w:t xml:space="preserve">Czech Republic (CZ)</w:t>
            </w:r>
          </w:p>
        </w:tc>
        <w:tc>
          <w:tcPr/>
          <w:p>
            <w:pPr>
              <w:pStyle w:val="Compact"/>
              <w:jc w:val="left"/>
            </w:pPr>
            <w:r>
              <w:t xml:space="preserve">OSA</w:t>
            </w:r>
          </w:p>
        </w:tc>
        <w:tc>
          <w:tcPr/>
          <w:p>
            <w:pPr>
              <w:pStyle w:val="Compact"/>
              <w:jc w:val="center"/>
            </w:pPr>
            <w:r>
              <w:t xml:space="preserve">Partial</w:t>
            </w:r>
          </w:p>
        </w:tc>
        <w:tc>
          <w:tcPr/>
          <w:p>
            <w:pPr>
              <w:pStyle w:val="Compact"/>
              <w:jc w:val="left"/>
            </w:pPr>
            <w:r>
              <w:t xml:space="preserve">osa.cz</w:t>
            </w:r>
            <w:r>
              <w:t xml:space="preserve"> </w:t>
            </w:r>
            <w:r>
              <w:rPr>
                <w:vertAlign w:val="superscript"/>
              </w:rPr>
              <w:footnoteReference w:id="46"/>
            </w:r>
          </w:p>
        </w:tc>
        <w:tc>
          <w:tcPr/>
          <w:p>
            <w:pPr>
              <w:pStyle w:val="Compact"/>
              <w:jc w:val="left"/>
            </w:pPr>
            <w:r>
              <w:t xml:space="preserve">Web portal</w:t>
            </w:r>
          </w:p>
        </w:tc>
        <w:tc>
          <w:tcPr/>
          <w:p>
            <w:pPr>
              <w:pStyle w:val="Compact"/>
              <w:jc w:val="center"/>
            </w:pPr>
            <w:r>
              <w:t xml:space="preserve">Yes (members)</w:t>
            </w:r>
          </w:p>
        </w:tc>
        <w:tc>
          <w:tcPr/>
          <w:p>
            <w:pPr>
              <w:pStyle w:val="Compact"/>
              <w:jc w:val="left"/>
            </w:pPr>
            <w:r>
              <w:t xml:space="preserve">Czech</w:t>
            </w:r>
          </w:p>
        </w:tc>
        <w:tc>
          <w:tcPr/>
          <w:p>
            <w:pPr>
              <w:pStyle w:val="Compact"/>
              <w:jc w:val="center"/>
            </w:pPr>
            <w:r>
              <w:t xml:space="preserve">Ongoing</w:t>
            </w:r>
          </w:p>
        </w:tc>
        <w:tc>
          <w:tcPr/>
          <w:p>
            <w:pPr>
              <w:pStyle w:val="Compact"/>
              <w:jc w:val="left"/>
            </w:pPr>
            <w:r>
              <w:t xml:space="preserve">Thousands</w:t>
            </w:r>
          </w:p>
        </w:tc>
        <w:tc>
          <w:tcPr/>
          <w:p>
            <w:pPr>
              <w:pStyle w:val="Compact"/>
              <w:jc w:val="center"/>
            </w:pPr>
            <w:r>
              <w:t xml:space="preserve">Formal</w:t>
            </w:r>
          </w:p>
        </w:tc>
      </w:tr>
      <w:tr>
        <w:tc>
          <w:tcPr/>
          <w:p>
            <w:pPr>
              <w:pStyle w:val="Compact"/>
              <w:jc w:val="left"/>
            </w:pPr>
            <w:r>
              <w:t xml:space="preserve">Denmark (DK)</w:t>
            </w:r>
          </w:p>
        </w:tc>
        <w:tc>
          <w:tcPr/>
          <w:p>
            <w:pPr>
              <w:pStyle w:val="Compact"/>
              <w:jc w:val="left"/>
            </w:pPr>
            <w:r>
              <w:t xml:space="preserve">KODA</w:t>
            </w:r>
          </w:p>
        </w:tc>
        <w:tc>
          <w:tcPr/>
          <w:p>
            <w:pPr>
              <w:pStyle w:val="Compact"/>
              <w:jc w:val="center"/>
            </w:pPr>
            <w:r>
              <w:rPr>
                <w:bCs/>
                <w:b/>
              </w:rPr>
              <w:t xml:space="preserve">Y</w:t>
            </w:r>
          </w:p>
        </w:tc>
        <w:tc>
          <w:tcPr/>
          <w:p>
            <w:pPr>
              <w:pStyle w:val="Compact"/>
              <w:jc w:val="left"/>
            </w:pPr>
            <w:r>
              <w:t xml:space="preserve">koda.dk</w:t>
            </w:r>
            <w:r>
              <w:t xml:space="preserve"> </w:t>
            </w:r>
            <w:r>
              <w:rPr>
                <w:vertAlign w:val="superscript"/>
              </w:rPr>
              <w:footnoteReference w:id="47"/>
            </w:r>
          </w:p>
        </w:tc>
        <w:tc>
          <w:tcPr/>
          <w:p>
            <w:pPr>
              <w:pStyle w:val="Compact"/>
              <w:jc w:val="left"/>
            </w:pPr>
            <w:r>
              <w:t xml:space="preserve">Interactive DB + Excel</w:t>
            </w:r>
          </w:p>
        </w:tc>
        <w:tc>
          <w:tcPr/>
          <w:p>
            <w:pPr>
              <w:pStyle w:val="Compact"/>
              <w:jc w:val="center"/>
            </w:pPr>
            <w:r>
              <w:t xml:space="preserve">No</w:t>
            </w:r>
          </w:p>
        </w:tc>
        <w:tc>
          <w:tcPr/>
          <w:p>
            <w:pPr>
              <w:pStyle w:val="Compact"/>
              <w:jc w:val="left"/>
            </w:pPr>
            <w:r>
              <w:t xml:space="preserve">Danish, English</w:t>
            </w:r>
          </w:p>
        </w:tc>
        <w:tc>
          <w:tcPr/>
          <w:p>
            <w:pPr>
              <w:pStyle w:val="Compact"/>
              <w:jc w:val="center"/>
            </w:pPr>
            <w:r>
              <w:t xml:space="preserve">Feb 2025</w:t>
            </w:r>
          </w:p>
        </w:tc>
        <w:tc>
          <w:tcPr/>
          <w:p>
            <w:pPr>
              <w:pStyle w:val="Compact"/>
              <w:jc w:val="left"/>
            </w:pPr>
            <w:r>
              <w:t xml:space="preserve">Q2 2022–Q4 2024</w:t>
            </w:r>
          </w:p>
        </w:tc>
        <w:tc>
          <w:tcPr/>
          <w:p>
            <w:pPr>
              <w:pStyle w:val="Compact"/>
              <w:jc w:val="center"/>
            </w:pPr>
            <w:r>
              <w:t xml:space="preserve">Substantive</w:t>
            </w:r>
          </w:p>
        </w:tc>
      </w:tr>
      <w:tr>
        <w:tc>
          <w:tcPr/>
          <w:p>
            <w:pPr>
              <w:pStyle w:val="Compact"/>
              <w:jc w:val="left"/>
            </w:pPr>
            <w:r>
              <w:t xml:space="preserve">Estonia (EE)</w:t>
            </w:r>
          </w:p>
        </w:tc>
        <w:tc>
          <w:tcPr/>
          <w:p>
            <w:pPr>
              <w:pStyle w:val="Compact"/>
              <w:jc w:val="left"/>
            </w:pPr>
            <w:r>
              <w:t xml:space="preserve">EAÜ</w:t>
            </w:r>
          </w:p>
        </w:tc>
        <w:tc>
          <w:tcPr/>
          <w:p>
            <w:pPr>
              <w:pStyle w:val="Compact"/>
              <w:jc w:val="center"/>
            </w:pPr>
            <w:r>
              <w:rPr>
                <w:bCs/>
                <w:b/>
              </w:rPr>
              <w:t xml:space="preserve">Y</w:t>
            </w:r>
          </w:p>
        </w:tc>
        <w:tc>
          <w:tcPr/>
          <w:p>
            <w:pPr>
              <w:pStyle w:val="Compact"/>
              <w:jc w:val="left"/>
            </w:pPr>
            <w:r>
              <w:t xml:space="preserve">portal.eau.ee</w:t>
            </w:r>
            <w:r>
              <w:t xml:space="preserve"> </w:t>
            </w:r>
            <w:r>
              <w:rPr>
                <w:vertAlign w:val="superscript"/>
              </w:rPr>
              <w:footnoteReference w:id="48"/>
            </w:r>
          </w:p>
        </w:tc>
        <w:tc>
          <w:tcPr/>
          <w:p>
            <w:pPr>
              <w:pStyle w:val="Compact"/>
              <w:jc w:val="left"/>
            </w:pPr>
            <w:r>
              <w:t xml:space="preserve">Interactive DB + CSV</w:t>
            </w:r>
          </w:p>
        </w:tc>
        <w:tc>
          <w:tcPr/>
          <w:p>
            <w:pPr>
              <w:pStyle w:val="Compact"/>
              <w:jc w:val="center"/>
            </w:pPr>
            <w:r>
              <w:t xml:space="preserve">No</w:t>
            </w:r>
          </w:p>
        </w:tc>
        <w:tc>
          <w:tcPr/>
          <w:p>
            <w:pPr>
              <w:pStyle w:val="Compact"/>
              <w:jc w:val="left"/>
            </w:pPr>
            <w:r>
              <w:t xml:space="preserve">Estonian, English</w:t>
            </w:r>
          </w:p>
        </w:tc>
        <w:tc>
          <w:tcPr/>
          <w:p>
            <w:pPr>
              <w:pStyle w:val="Compact"/>
              <w:jc w:val="center"/>
            </w:pPr>
            <w:r>
              <w:t xml:space="preserve">2026</w:t>
            </w:r>
          </w:p>
        </w:tc>
        <w:tc>
          <w:tcPr/>
          <w:p>
            <w:pPr>
              <w:pStyle w:val="Compact"/>
              <w:jc w:val="left"/>
            </w:pPr>
            <w:r>
              <w:t xml:space="preserve">EUR 305K (2024)</w:t>
            </w:r>
          </w:p>
        </w:tc>
        <w:tc>
          <w:tcPr/>
          <w:p>
            <w:pPr>
              <w:pStyle w:val="Compact"/>
              <w:jc w:val="center"/>
            </w:pPr>
            <w:r>
              <w:t xml:space="preserve">Substantive</w:t>
            </w:r>
          </w:p>
        </w:tc>
      </w:tr>
      <w:tr>
        <w:tc>
          <w:tcPr/>
          <w:p>
            <w:pPr>
              <w:pStyle w:val="Compact"/>
              <w:jc w:val="left"/>
            </w:pPr>
            <w:r>
              <w:t xml:space="preserve">Finland (FI)</w:t>
            </w:r>
          </w:p>
        </w:tc>
        <w:tc>
          <w:tcPr/>
          <w:p>
            <w:pPr>
              <w:pStyle w:val="Compact"/>
              <w:jc w:val="left"/>
            </w:pPr>
            <w:r>
              <w:t xml:space="preserve">TEOSTO</w:t>
            </w:r>
          </w:p>
        </w:tc>
        <w:tc>
          <w:tcPr/>
          <w:p>
            <w:pPr>
              <w:pStyle w:val="Compact"/>
              <w:jc w:val="center"/>
            </w:pPr>
            <w:r>
              <w:t xml:space="preserve">Partial</w:t>
            </w:r>
          </w:p>
        </w:tc>
        <w:tc>
          <w:tcPr/>
          <w:p>
            <w:pPr>
              <w:pStyle w:val="Compact"/>
              <w:jc w:val="left"/>
            </w:pPr>
            <w:r>
              <w:t xml:space="preserve">teosto.fi</w:t>
            </w:r>
            <w:r>
              <w:t xml:space="preserve"> </w:t>
            </w:r>
            <w:r>
              <w:rPr>
                <w:vertAlign w:val="superscript"/>
              </w:rPr>
              <w:footnoteReference w:id="49"/>
            </w:r>
          </w:p>
        </w:tc>
        <w:tc>
          <w:tcPr/>
          <w:p>
            <w:pPr>
              <w:pStyle w:val="Compact"/>
              <w:jc w:val="left"/>
            </w:pPr>
            <w:r>
              <w:t xml:space="preserve">Web (member login)</w:t>
            </w:r>
          </w:p>
        </w:tc>
        <w:tc>
          <w:tcPr/>
          <w:p>
            <w:pPr>
              <w:pStyle w:val="Compact"/>
              <w:jc w:val="center"/>
            </w:pPr>
            <w:r>
              <w:t xml:space="preserve">Yes</w:t>
            </w:r>
          </w:p>
        </w:tc>
        <w:tc>
          <w:tcPr/>
          <w:p>
            <w:pPr>
              <w:pStyle w:val="Compact"/>
              <w:jc w:val="left"/>
            </w:pPr>
            <w:r>
              <w:t xml:space="preserve">English, Finnish, Swedish</w:t>
            </w:r>
          </w:p>
        </w:tc>
        <w:tc>
          <w:tcPr/>
          <w:p>
            <w:pPr>
              <w:pStyle w:val="Compact"/>
              <w:jc w:val="center"/>
            </w:pPr>
            <w:r>
              <w:t xml:space="preserve">2016 ref.</w:t>
            </w:r>
          </w:p>
        </w:tc>
        <w:tc>
          <w:tcPr/>
          <w:p>
            <w:pPr>
              <w:pStyle w:val="Compact"/>
              <w:jc w:val="left"/>
            </w:pPr>
            <w:r>
              <w:t xml:space="preserve">Unknown</w:t>
            </w:r>
          </w:p>
        </w:tc>
        <w:tc>
          <w:tcPr/>
          <w:p>
            <w:pPr>
              <w:pStyle w:val="Compact"/>
              <w:jc w:val="center"/>
            </w:pPr>
            <w:r>
              <w:t xml:space="preserve">Formal</w:t>
            </w:r>
          </w:p>
        </w:tc>
      </w:tr>
      <w:tr>
        <w:tc>
          <w:tcPr/>
          <w:p>
            <w:pPr>
              <w:pStyle w:val="Compact"/>
              <w:jc w:val="left"/>
            </w:pPr>
            <w:r>
              <w:t xml:space="preserve">France (FR)</w:t>
            </w:r>
          </w:p>
        </w:tc>
        <w:tc>
          <w:tcPr/>
          <w:p>
            <w:pPr>
              <w:pStyle w:val="Compact"/>
              <w:jc w:val="left"/>
            </w:pPr>
            <w:r>
              <w:t xml:space="preserve">SACEM</w:t>
            </w:r>
          </w:p>
        </w:tc>
        <w:tc>
          <w:tcPr/>
          <w:p>
            <w:pPr>
              <w:pStyle w:val="Compact"/>
              <w:jc w:val="center"/>
            </w:pPr>
            <w:r>
              <w:rPr>
                <w:bCs/>
                <w:b/>
              </w:rPr>
              <w:t xml:space="preserve">Y</w:t>
            </w:r>
          </w:p>
        </w:tc>
        <w:tc>
          <w:tcPr/>
          <w:p>
            <w:pPr>
              <w:pStyle w:val="Compact"/>
              <w:jc w:val="left"/>
            </w:pPr>
            <w:r>
              <w:t xml:space="preserve">repertoire.sacem.fr</w:t>
            </w:r>
            <w:r>
              <w:t xml:space="preserve"> </w:t>
            </w:r>
            <w:fldSimple w:instr="NOTEREF _Ref_Footnote_17 \h \f">
              <w:r>
                <w:rPr>
                  <w:vertAlign w:val="superscript"/>
                </w:rPr>
                <w:t>17</w:t>
              </w:r>
            </w:fldSimple>
          </w:p>
        </w:tc>
        <w:tc>
          <w:tcPr/>
          <w:p>
            <w:pPr>
              <w:pStyle w:val="Compact"/>
              <w:jc w:val="left"/>
            </w:pPr>
            <w:r>
              <w:t xml:space="preserve">Interactive web search</w:t>
            </w:r>
          </w:p>
        </w:tc>
        <w:tc>
          <w:tcPr/>
          <w:p>
            <w:pPr>
              <w:pStyle w:val="Compact"/>
              <w:jc w:val="center"/>
            </w:pPr>
            <w:r>
              <w:t xml:space="preserve">No (search)</w:t>
            </w:r>
          </w:p>
        </w:tc>
        <w:tc>
          <w:tcPr/>
          <w:p>
            <w:pPr>
              <w:pStyle w:val="Compact"/>
              <w:jc w:val="left"/>
            </w:pPr>
            <w:r>
              <w:t xml:space="preserve">French, English</w:t>
            </w:r>
          </w:p>
        </w:tc>
        <w:tc>
          <w:tcPr/>
          <w:p>
            <w:pPr>
              <w:pStyle w:val="Compact"/>
              <w:jc w:val="center"/>
            </w:pPr>
            <w:r>
              <w:t xml:space="preserve">Real-time</w:t>
            </w:r>
          </w:p>
        </w:tc>
        <w:tc>
          <w:tcPr/>
          <w:p>
            <w:pPr>
              <w:pStyle w:val="Compact"/>
              <w:jc w:val="left"/>
            </w:pPr>
            <w:r>
              <w:t xml:space="preserve">14M+ works managed</w:t>
            </w:r>
          </w:p>
        </w:tc>
        <w:tc>
          <w:tcPr/>
          <w:p>
            <w:pPr>
              <w:pStyle w:val="Compact"/>
              <w:jc w:val="center"/>
            </w:pPr>
            <w:r>
              <w:t xml:space="preserve">Substantive</w:t>
            </w:r>
          </w:p>
        </w:tc>
      </w:tr>
      <w:tr>
        <w:tc>
          <w:tcPr/>
          <w:p>
            <w:pPr>
              <w:pStyle w:val="Compact"/>
              <w:jc w:val="left"/>
            </w:pPr>
            <w:r>
              <w:t xml:space="preserve">Germany (DE)</w:t>
            </w:r>
          </w:p>
        </w:tc>
        <w:tc>
          <w:tcPr/>
          <w:p>
            <w:pPr>
              <w:pStyle w:val="Compact"/>
              <w:jc w:val="left"/>
            </w:pPr>
            <w:r>
              <w:t xml:space="preserve">GEMA</w:t>
            </w:r>
          </w:p>
        </w:tc>
        <w:tc>
          <w:tcPr/>
          <w:p>
            <w:pPr>
              <w:pStyle w:val="Compact"/>
              <w:jc w:val="center"/>
            </w:pPr>
            <w:r>
              <w:t xml:space="preserve">N</w:t>
            </w:r>
          </w:p>
        </w:tc>
        <w:tc>
          <w:tcPr/>
          <w:p>
            <w:pPr>
              <w:pStyle w:val="Compact"/>
              <w:jc w:val="left"/>
            </w:pPr>
            <w:r>
              <w:t xml:space="preserve">gema.de</w:t>
            </w:r>
            <w:r>
              <w:t xml:space="preserve"> </w:t>
            </w:r>
            <w:r>
              <w:rPr>
                <w:vertAlign w:val="superscript"/>
              </w:rPr>
              <w:footnoteReference w:id="50"/>
            </w:r>
          </w:p>
        </w:tc>
        <w:tc>
          <w:tcPr/>
          <w:p>
            <w:pPr>
              <w:pStyle w:val="Compact"/>
              <w:jc w:val="left"/>
            </w:pPr>
            <w:r>
              <w:t xml:space="preserve">Web (members-only)</w:t>
            </w:r>
          </w:p>
        </w:tc>
        <w:tc>
          <w:tcPr/>
          <w:p>
            <w:pPr>
              <w:pStyle w:val="Compact"/>
              <w:jc w:val="center"/>
            </w:pPr>
            <w:r>
              <w:t xml:space="preserve">Yes</w:t>
            </w:r>
          </w:p>
        </w:tc>
        <w:tc>
          <w:tcPr/>
          <w:p>
            <w:pPr>
              <w:pStyle w:val="Compact"/>
              <w:jc w:val="left"/>
            </w:pPr>
            <w:r>
              <w:t xml:space="preserve">German, English</w:t>
            </w:r>
          </w:p>
        </w:tc>
        <w:tc>
          <w:tcPr/>
          <w:p>
            <w:pPr>
              <w:pStyle w:val="Compact"/>
              <w:jc w:val="center"/>
            </w:pPr>
            <w:r>
              <w:t xml:space="preserve">Ongoing</w:t>
            </w:r>
          </w:p>
        </w:tc>
        <w:tc>
          <w:tcPr/>
          <w:p>
            <w:pPr>
              <w:pStyle w:val="Compact"/>
              <w:jc w:val="left"/>
            </w:pPr>
            <w:r>
              <w:t xml:space="preserve">Unknown</w:t>
            </w:r>
          </w:p>
        </w:tc>
        <w:tc>
          <w:tcPr/>
          <w:p>
            <w:pPr>
              <w:pStyle w:val="Compact"/>
              <w:jc w:val="center"/>
            </w:pPr>
            <w:r>
              <w:t xml:space="preserve">Formal</w:t>
            </w:r>
          </w:p>
        </w:tc>
      </w:tr>
      <w:tr>
        <w:tc>
          <w:tcPr/>
          <w:p>
            <w:pPr>
              <w:pStyle w:val="Compact"/>
              <w:jc w:val="left"/>
            </w:pPr>
            <w:r>
              <w:t xml:space="preserve">Greece (GR)</w:t>
            </w:r>
          </w:p>
        </w:tc>
        <w:tc>
          <w:tcPr/>
          <w:p>
            <w:pPr>
              <w:pStyle w:val="Compact"/>
              <w:jc w:val="left"/>
            </w:pPr>
            <w:r>
              <w:t xml:space="preserve">AUTODIA</w:t>
            </w:r>
          </w:p>
        </w:tc>
        <w:tc>
          <w:tcPr/>
          <w:p>
            <w:pPr>
              <w:pStyle w:val="Compact"/>
              <w:jc w:val="center"/>
            </w:pPr>
            <w:r>
              <w:t xml:space="preserve">N</w:t>
            </w:r>
          </w:p>
        </w:tc>
        <w:tc>
          <w:tcPr/>
          <w:p>
            <w:pPr>
              <w:pStyle w:val="Compact"/>
              <w:jc w:val="left"/>
            </w:pPr>
            <w:r>
              <w:t xml:space="preserve">autodia.gr</w:t>
            </w:r>
            <w:r>
              <w:t xml:space="preserve"> </w:t>
            </w:r>
            <w:fldSimple w:instr="NOTEREF _Ref_Footnote_45 \h \f">
              <w:r>
                <w:rPr>
                  <w:vertAlign w:val="superscript"/>
                </w:rPr>
                <w:t>45</w:t>
              </w:r>
            </w:fldSimple>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Hungary (HU)</w:t>
            </w:r>
          </w:p>
        </w:tc>
        <w:tc>
          <w:tcPr/>
          <w:p>
            <w:pPr>
              <w:pStyle w:val="Compact"/>
              <w:jc w:val="left"/>
            </w:pPr>
            <w:r>
              <w:t xml:space="preserve">ARTISJUS</w:t>
            </w:r>
          </w:p>
        </w:tc>
        <w:tc>
          <w:tcPr/>
          <w:p>
            <w:pPr>
              <w:pStyle w:val="Compact"/>
              <w:jc w:val="center"/>
            </w:pPr>
            <w:r>
              <w:rPr>
                <w:bCs/>
                <w:b/>
              </w:rPr>
              <w:t xml:space="preserve">Y</w:t>
            </w:r>
          </w:p>
        </w:tc>
        <w:tc>
          <w:tcPr/>
          <w:p>
            <w:pPr>
              <w:pStyle w:val="Compact"/>
              <w:jc w:val="left"/>
            </w:pPr>
            <w:r>
              <w:t xml:space="preserve">artisjus.hu</w:t>
            </w:r>
            <w:r>
              <w:t xml:space="preserve"> </w:t>
            </w:r>
            <w:r>
              <w:rPr>
                <w:vertAlign w:val="superscript"/>
              </w:rPr>
              <w:footnoteReference w:id="51"/>
            </w:r>
          </w:p>
        </w:tc>
        <w:tc>
          <w:tcPr/>
          <w:p>
            <w:pPr>
              <w:pStyle w:val="Compact"/>
              <w:jc w:val="left"/>
            </w:pPr>
            <w:r>
              <w:t xml:space="preserve">PDF + Online search</w:t>
            </w:r>
          </w:p>
        </w:tc>
        <w:tc>
          <w:tcPr/>
          <w:p>
            <w:pPr>
              <w:pStyle w:val="Compact"/>
              <w:jc w:val="center"/>
            </w:pPr>
            <w:r>
              <w:t xml:space="preserve">No (PDFs)</w:t>
            </w:r>
          </w:p>
        </w:tc>
        <w:tc>
          <w:tcPr/>
          <w:p>
            <w:pPr>
              <w:pStyle w:val="Compact"/>
              <w:jc w:val="left"/>
            </w:pPr>
            <w:r>
              <w:t xml:space="preserve">Hungarian</w:t>
            </w:r>
          </w:p>
        </w:tc>
        <w:tc>
          <w:tcPr/>
          <w:p>
            <w:pPr>
              <w:pStyle w:val="Compact"/>
              <w:jc w:val="center"/>
            </w:pPr>
            <w:r>
              <w:t xml:space="preserve">2025</w:t>
            </w:r>
          </w:p>
        </w:tc>
        <w:tc>
          <w:tcPr/>
          <w:p>
            <w:pPr>
              <w:pStyle w:val="Compact"/>
              <w:jc w:val="left"/>
            </w:pPr>
            <w:r>
              <w:t xml:space="preserve">~65,000 works; HUF 645M</w:t>
            </w:r>
          </w:p>
        </w:tc>
        <w:tc>
          <w:tcPr/>
          <w:p>
            <w:pPr>
              <w:pStyle w:val="Compact"/>
              <w:jc w:val="center"/>
            </w:pPr>
            <w:r>
              <w:t xml:space="preserve">Substantive</w:t>
            </w:r>
          </w:p>
        </w:tc>
      </w:tr>
      <w:tr>
        <w:tc>
          <w:tcPr/>
          <w:p>
            <w:pPr>
              <w:pStyle w:val="Compact"/>
              <w:jc w:val="left"/>
            </w:pPr>
            <w:r>
              <w:t xml:space="preserve">Iceland (IS)</w:t>
            </w:r>
          </w:p>
        </w:tc>
        <w:tc>
          <w:tcPr/>
          <w:p>
            <w:pPr>
              <w:pStyle w:val="Compact"/>
              <w:jc w:val="left"/>
            </w:pPr>
            <w:r>
              <w:t xml:space="preserve">STEF</w:t>
            </w:r>
          </w:p>
        </w:tc>
        <w:tc>
          <w:tcPr/>
          <w:p>
            <w:pPr>
              <w:pStyle w:val="Compact"/>
              <w:jc w:val="center"/>
            </w:pPr>
            <w:r>
              <w:t xml:space="preserve">N</w:t>
            </w:r>
          </w:p>
        </w:tc>
        <w:tc>
          <w:tcPr/>
          <w:p>
            <w:pPr>
              <w:pStyle w:val="Compact"/>
              <w:jc w:val="left"/>
            </w:pPr>
            <w:r>
              <w:t xml:space="preserve">stef.is</w:t>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~6,700 members</w:t>
            </w:r>
          </w:p>
        </w:tc>
        <w:tc>
          <w:tcPr/>
          <w:p>
            <w:pPr>
              <w:pStyle w:val="Compact"/>
              <w:jc w:val="center"/>
            </w:pPr>
            <w:r>
              <w:t xml:space="preserve">Unknown</w:t>
            </w:r>
          </w:p>
        </w:tc>
      </w:tr>
      <w:tr>
        <w:tc>
          <w:tcPr/>
          <w:p>
            <w:pPr>
              <w:pStyle w:val="Compact"/>
              <w:jc w:val="left"/>
            </w:pPr>
            <w:r>
              <w:t xml:space="preserve">Ireland (IE)</w:t>
            </w:r>
          </w:p>
        </w:tc>
        <w:tc>
          <w:tcPr/>
          <w:p>
            <w:pPr>
              <w:pStyle w:val="Compact"/>
              <w:jc w:val="left"/>
            </w:pPr>
            <w:r>
              <w:t xml:space="preserve">IMRO</w:t>
            </w:r>
          </w:p>
        </w:tc>
        <w:tc>
          <w:tcPr/>
          <w:p>
            <w:pPr>
              <w:pStyle w:val="Compact"/>
              <w:jc w:val="center"/>
            </w:pPr>
            <w:r>
              <w:t xml:space="preserve">Partial</w:t>
            </w:r>
          </w:p>
        </w:tc>
        <w:tc>
          <w:tcPr/>
          <w:p>
            <w:pPr>
              <w:pStyle w:val="Compact"/>
              <w:jc w:val="left"/>
            </w:pPr>
            <w:r>
              <w:t xml:space="preserve">imro.ie</w:t>
            </w:r>
            <w:r>
              <w:t xml:space="preserve"> </w:t>
            </w:r>
            <w:r>
              <w:rPr>
                <w:vertAlign w:val="superscript"/>
              </w:rPr>
              <w:footnoteReference w:id="52"/>
            </w:r>
          </w:p>
        </w:tc>
        <w:tc>
          <w:tcPr/>
          <w:p>
            <w:pPr>
              <w:pStyle w:val="Compact"/>
              <w:jc w:val="left"/>
            </w:pPr>
            <w:r>
              <w:t xml:space="preserve">UP files (members)</w:t>
            </w:r>
          </w:p>
        </w:tc>
        <w:tc>
          <w:tcPr/>
          <w:p>
            <w:pPr>
              <w:pStyle w:val="Compact"/>
              <w:jc w:val="center"/>
            </w:pPr>
            <w:r>
              <w:t xml:space="preserve">Yes</w:t>
            </w:r>
          </w:p>
        </w:tc>
        <w:tc>
          <w:tcPr/>
          <w:p>
            <w:pPr>
              <w:pStyle w:val="Compact"/>
              <w:jc w:val="left"/>
            </w:pPr>
            <w:r>
              <w:t xml:space="preserve">English</w:t>
            </w:r>
          </w:p>
        </w:tc>
        <w:tc>
          <w:tcPr/>
          <w:p>
            <w:pPr>
              <w:pStyle w:val="Compact"/>
              <w:jc w:val="center"/>
            </w:pPr>
            <w:r>
              <w:t xml:space="preserve">Ongoing</w:t>
            </w:r>
          </w:p>
        </w:tc>
        <w:tc>
          <w:tcPr/>
          <w:p>
            <w:pPr>
              <w:pStyle w:val="Compact"/>
              <w:jc w:val="left"/>
            </w:pPr>
            <w:r>
              <w:t xml:space="preserve">Millions distributed</w:t>
            </w:r>
          </w:p>
        </w:tc>
        <w:tc>
          <w:tcPr/>
          <w:p>
            <w:pPr>
              <w:pStyle w:val="Compact"/>
              <w:jc w:val="center"/>
            </w:pPr>
            <w:r>
              <w:t xml:space="preserve">Formal</w:t>
            </w:r>
          </w:p>
        </w:tc>
      </w:tr>
      <w:tr>
        <w:tc>
          <w:tcPr/>
          <w:p>
            <w:pPr>
              <w:pStyle w:val="Compact"/>
              <w:jc w:val="left"/>
            </w:pPr>
            <w:r>
              <w:t xml:space="preserve">Italy (IT)</w:t>
            </w:r>
          </w:p>
        </w:tc>
        <w:tc>
          <w:tcPr/>
          <w:p>
            <w:pPr>
              <w:pStyle w:val="Compact"/>
              <w:jc w:val="left"/>
            </w:pPr>
            <w:r>
              <w:t xml:space="preserve">SIAE</w:t>
            </w:r>
          </w:p>
        </w:tc>
        <w:tc>
          <w:tcPr/>
          <w:p>
            <w:pPr>
              <w:pStyle w:val="Compact"/>
              <w:jc w:val="center"/>
            </w:pPr>
            <w:r>
              <w:t xml:space="preserve">N</w:t>
            </w:r>
          </w:p>
        </w:tc>
        <w:tc>
          <w:tcPr/>
          <w:p>
            <w:pPr>
              <w:pStyle w:val="Compact"/>
              <w:jc w:val="left"/>
            </w:pPr>
            <w:r>
              <w:t xml:space="preserve">siae.it</w:t>
            </w:r>
            <w:r>
              <w:t xml:space="preserve"> </w:t>
            </w:r>
            <w:r>
              <w:rPr>
                <w:vertAlign w:val="superscript"/>
              </w:rPr>
              <w:footnoteReference w:id="53"/>
            </w:r>
          </w:p>
        </w:tc>
        <w:tc>
          <w:tcPr/>
          <w:p>
            <w:pPr>
              <w:pStyle w:val="Compact"/>
              <w:jc w:val="left"/>
            </w:pPr>
            <w:r>
              <w:t xml:space="preserve">Web (members-only)</w:t>
            </w:r>
          </w:p>
        </w:tc>
        <w:tc>
          <w:tcPr/>
          <w:p>
            <w:pPr>
              <w:pStyle w:val="Compact"/>
              <w:jc w:val="center"/>
            </w:pPr>
            <w:r>
              <w:t xml:space="preserve">Yes</w:t>
            </w:r>
          </w:p>
        </w:tc>
        <w:tc>
          <w:tcPr/>
          <w:p>
            <w:pPr>
              <w:pStyle w:val="Compact"/>
              <w:jc w:val="left"/>
            </w:pPr>
            <w:r>
              <w:t xml:space="preserve">Italian</w:t>
            </w:r>
          </w:p>
        </w:tc>
        <w:tc>
          <w:tcPr/>
          <w:p>
            <w:pPr>
              <w:pStyle w:val="Compact"/>
              <w:jc w:val="center"/>
            </w:pPr>
            <w:r>
              <w:t xml:space="preserve">Ongoing</w:t>
            </w:r>
          </w:p>
        </w:tc>
        <w:tc>
          <w:tcPr/>
          <w:p>
            <w:pPr>
              <w:pStyle w:val="Compact"/>
              <w:jc w:val="left"/>
            </w:pPr>
            <w:r>
              <w:t xml:space="preserve">Unknown</w:t>
            </w:r>
          </w:p>
        </w:tc>
        <w:tc>
          <w:tcPr/>
          <w:p>
            <w:pPr>
              <w:pStyle w:val="Compact"/>
              <w:jc w:val="center"/>
            </w:pPr>
            <w:r>
              <w:t xml:space="preserve">Formal</w:t>
            </w:r>
          </w:p>
        </w:tc>
      </w:tr>
      <w:tr>
        <w:tc>
          <w:tcPr/>
          <w:p>
            <w:pPr>
              <w:pStyle w:val="Compact"/>
              <w:jc w:val="left"/>
            </w:pPr>
            <w:r>
              <w:t xml:space="preserve">Latvia (LV)</w:t>
            </w:r>
          </w:p>
        </w:tc>
        <w:tc>
          <w:tcPr/>
          <w:p>
            <w:pPr>
              <w:pStyle w:val="Compact"/>
              <w:jc w:val="left"/>
            </w:pPr>
            <w:r>
              <w:t xml:space="preserve">AKKA/LAA</w:t>
            </w:r>
          </w:p>
        </w:tc>
        <w:tc>
          <w:tcPr/>
          <w:p>
            <w:pPr>
              <w:pStyle w:val="Compact"/>
              <w:jc w:val="center"/>
            </w:pPr>
            <w:r>
              <w:t xml:space="preserve">N</w:t>
            </w:r>
          </w:p>
        </w:tc>
        <w:tc>
          <w:tcPr/>
          <w:p>
            <w:pPr>
              <w:pStyle w:val="Compact"/>
              <w:jc w:val="left"/>
            </w:pPr>
            <w:r>
              <w:t xml:space="preserve">akkdys.lv</w:t>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Lithuania (LT)</w:t>
            </w:r>
          </w:p>
        </w:tc>
        <w:tc>
          <w:tcPr/>
          <w:p>
            <w:pPr>
              <w:pStyle w:val="Compact"/>
              <w:jc w:val="left"/>
            </w:pPr>
            <w:r>
              <w:t xml:space="preserve">LATGA</w:t>
            </w:r>
          </w:p>
        </w:tc>
        <w:tc>
          <w:tcPr/>
          <w:p>
            <w:pPr>
              <w:pStyle w:val="Compact"/>
              <w:jc w:val="center"/>
            </w:pPr>
            <w:r>
              <w:t xml:space="preserve">N</w:t>
            </w:r>
          </w:p>
        </w:tc>
        <w:tc>
          <w:tcPr/>
          <w:p>
            <w:pPr>
              <w:pStyle w:val="Compact"/>
              <w:jc w:val="left"/>
            </w:pPr>
            <w:r>
              <w:t xml:space="preserve">latga.lt</w:t>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Luxembourg (LU)</w:t>
            </w:r>
          </w:p>
        </w:tc>
        <w:tc>
          <w:tcPr/>
          <w:p>
            <w:pPr>
              <w:pStyle w:val="Compact"/>
              <w:jc w:val="left"/>
            </w:pPr>
            <w:r>
              <w:t xml:space="preserve">SACEM LU</w:t>
            </w:r>
          </w:p>
        </w:tc>
        <w:tc>
          <w:tcPr/>
          <w:p>
            <w:pPr>
              <w:pStyle w:val="Compact"/>
              <w:jc w:val="center"/>
            </w:pPr>
            <w:r>
              <w:t xml:space="preserve">N</w:t>
            </w:r>
          </w:p>
        </w:tc>
        <w:tc>
          <w:tcPr/>
          <w:p>
            <w:pPr>
              <w:pStyle w:val="Compact"/>
              <w:jc w:val="left"/>
            </w:pPr>
            <w:r>
              <w:t xml:space="preserve">sacem.lu</w:t>
            </w:r>
            <w:r>
              <w:t xml:space="preserve"> </w:t>
            </w:r>
            <w:r>
              <w:rPr>
                <w:vertAlign w:val="superscript"/>
              </w:rPr>
              <w:footnoteReference w:id="54"/>
            </w:r>
          </w:p>
        </w:tc>
        <w:tc>
          <w:tcPr/>
          <w:p>
            <w:pPr>
              <w:pStyle w:val="Compact"/>
              <w:jc w:val="left"/>
            </w:pPr>
            <w:r>
              <w:t xml:space="preserve">None (uses SACEM FR)</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Malta (MT)</w:t>
            </w:r>
          </w:p>
        </w:tc>
        <w:tc>
          <w:tcPr/>
          <w:p>
            <w:pPr>
              <w:pStyle w:val="Compact"/>
              <w:jc w:val="left"/>
            </w:pPr>
            <w:r>
              <w:t xml:space="preserve">SPA Malta</w:t>
            </w:r>
          </w:p>
        </w:tc>
        <w:tc>
          <w:tcPr/>
          <w:p>
            <w:pPr>
              <w:pStyle w:val="Compact"/>
              <w:jc w:val="center"/>
            </w:pPr>
            <w:r>
              <w:t xml:space="preserve">Unknown</w:t>
            </w:r>
          </w:p>
        </w:tc>
        <w:tc>
          <w:tcPr/>
          <w:p>
            <w:pPr>
              <w:pStyle w:val="Compact"/>
              <w:jc w:val="left"/>
            </w:pPr>
            <w:r>
              <w:t xml:space="preserve">Not identified</w:t>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Unknown</w:t>
            </w:r>
          </w:p>
        </w:tc>
      </w:tr>
      <w:tr>
        <w:tc>
          <w:tcPr/>
          <w:p>
            <w:pPr>
              <w:pStyle w:val="Compact"/>
              <w:jc w:val="left"/>
            </w:pPr>
            <w:r>
              <w:t xml:space="preserve">Netherlands (NL)</w:t>
            </w:r>
          </w:p>
        </w:tc>
        <w:tc>
          <w:tcPr/>
          <w:p>
            <w:pPr>
              <w:pStyle w:val="Compact"/>
              <w:jc w:val="left"/>
            </w:pPr>
            <w:r>
              <w:t xml:space="preserve">BUMA/Stemra</w:t>
            </w:r>
          </w:p>
        </w:tc>
        <w:tc>
          <w:tcPr/>
          <w:p>
            <w:pPr>
              <w:pStyle w:val="Compact"/>
              <w:jc w:val="center"/>
            </w:pPr>
            <w:r>
              <w:t xml:space="preserve">N</w:t>
            </w:r>
          </w:p>
        </w:tc>
        <w:tc>
          <w:tcPr/>
          <w:p>
            <w:pPr>
              <w:pStyle w:val="Compact"/>
              <w:jc w:val="left"/>
            </w:pPr>
            <w:r>
              <w:t xml:space="preserve">bumastemra.nl</w:t>
            </w:r>
            <w:r>
              <w:t xml:space="preserve"> </w:t>
            </w:r>
            <w:r>
              <w:rPr>
                <w:vertAlign w:val="superscript"/>
              </w:rPr>
              <w:footnoteReference w:id="55"/>
            </w:r>
          </w:p>
        </w:tc>
        <w:tc>
          <w:tcPr/>
          <w:p>
            <w:pPr>
              <w:pStyle w:val="Compact"/>
              <w:jc w:val="left"/>
            </w:pPr>
            <w:r>
              <w:t xml:space="preserve">Internal services</w:t>
            </w:r>
          </w:p>
        </w:tc>
        <w:tc>
          <w:tcPr/>
          <w:p>
            <w:pPr>
              <w:pStyle w:val="Compact"/>
              <w:jc w:val="center"/>
            </w:pPr>
            <w:r>
              <w:t xml:space="preserve">Yes</w:t>
            </w:r>
          </w:p>
        </w:tc>
        <w:tc>
          <w:tcPr/>
          <w:p>
            <w:pPr>
              <w:pStyle w:val="Compact"/>
              <w:jc w:val="left"/>
            </w:pPr>
            <w:r>
              <w:t xml:space="preserve">Dutch, English</w:t>
            </w:r>
          </w:p>
        </w:tc>
        <w:tc>
          <w:tcPr/>
          <w:p>
            <w:pPr>
              <w:pStyle w:val="Compact"/>
              <w:jc w:val="center"/>
            </w:pPr>
            <w:r>
              <w:t xml:space="preserve">Ongoing</w:t>
            </w:r>
          </w:p>
        </w:tc>
        <w:tc>
          <w:tcPr/>
          <w:p>
            <w:pPr>
              <w:pStyle w:val="Compact"/>
              <w:jc w:val="left"/>
            </w:pPr>
            <w:r>
              <w:t xml:space="preserve">EUR 3.1M (2018)</w:t>
            </w:r>
          </w:p>
        </w:tc>
        <w:tc>
          <w:tcPr/>
          <w:p>
            <w:pPr>
              <w:pStyle w:val="Compact"/>
              <w:jc w:val="center"/>
            </w:pPr>
            <w:r>
              <w:t xml:space="preserve">Formal</w:t>
            </w:r>
          </w:p>
        </w:tc>
      </w:tr>
      <w:tr>
        <w:tc>
          <w:tcPr/>
          <w:p>
            <w:pPr>
              <w:pStyle w:val="Compact"/>
              <w:jc w:val="left"/>
            </w:pPr>
            <w:r>
              <w:t xml:space="preserve">Norway (NO)</w:t>
            </w:r>
          </w:p>
        </w:tc>
        <w:tc>
          <w:tcPr/>
          <w:p>
            <w:pPr>
              <w:pStyle w:val="Compact"/>
              <w:jc w:val="left"/>
            </w:pPr>
            <w:r>
              <w:t xml:space="preserve">TONO</w:t>
            </w:r>
          </w:p>
        </w:tc>
        <w:tc>
          <w:tcPr/>
          <w:p>
            <w:pPr>
              <w:pStyle w:val="Compact"/>
              <w:jc w:val="center"/>
            </w:pPr>
            <w:r>
              <w:t xml:space="preserve">N</w:t>
            </w:r>
          </w:p>
        </w:tc>
        <w:tc>
          <w:tcPr/>
          <w:p>
            <w:pPr>
              <w:pStyle w:val="Compact"/>
              <w:jc w:val="left"/>
            </w:pPr>
            <w:r>
              <w:t xml:space="preserve">tono.no</w:t>
            </w:r>
            <w:r>
              <w:t xml:space="preserve"> </w:t>
            </w:r>
            <w:r>
              <w:rPr>
                <w:vertAlign w:val="superscript"/>
              </w:rPr>
              <w:footnoteReference w:id="56"/>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NOK 65M (2023)</w:t>
            </w:r>
          </w:p>
        </w:tc>
        <w:tc>
          <w:tcPr/>
          <w:p>
            <w:pPr>
              <w:pStyle w:val="Compact"/>
              <w:jc w:val="center"/>
            </w:pPr>
            <w:r>
              <w:t xml:space="preserve">Formal</w:t>
            </w:r>
          </w:p>
        </w:tc>
      </w:tr>
      <w:tr>
        <w:tc>
          <w:tcPr/>
          <w:p>
            <w:pPr>
              <w:pStyle w:val="Compact"/>
              <w:jc w:val="left"/>
            </w:pPr>
            <w:r>
              <w:t xml:space="preserve">Poland (PL)</w:t>
            </w:r>
          </w:p>
        </w:tc>
        <w:tc>
          <w:tcPr/>
          <w:p>
            <w:pPr>
              <w:pStyle w:val="Compact"/>
              <w:jc w:val="left"/>
            </w:pPr>
            <w:r>
              <w:t xml:space="preserve">ZAiKS</w:t>
            </w:r>
          </w:p>
        </w:tc>
        <w:tc>
          <w:tcPr/>
          <w:p>
            <w:pPr>
              <w:pStyle w:val="Compact"/>
              <w:jc w:val="center"/>
            </w:pPr>
            <w:r>
              <w:rPr>
                <w:bCs/>
                <w:b/>
              </w:rPr>
              <w:t xml:space="preserve">Y</w:t>
            </w:r>
          </w:p>
        </w:tc>
        <w:tc>
          <w:tcPr/>
          <w:p>
            <w:pPr>
              <w:pStyle w:val="Compact"/>
              <w:jc w:val="left"/>
            </w:pPr>
            <w:r>
              <w:t xml:space="preserve">online.zaiks.org.pl</w:t>
            </w:r>
            <w:r>
              <w:t xml:space="preserve"> </w:t>
            </w:r>
            <w:fldSimple w:instr="NOTEREF _Ref_Footnote_41 \h \f">
              <w:r>
                <w:rPr>
                  <w:vertAlign w:val="superscript"/>
                </w:rPr>
                <w:t>41</w:t>
              </w:r>
            </w:fldSimple>
          </w:p>
        </w:tc>
        <w:tc>
          <w:tcPr/>
          <w:p>
            <w:pPr>
              <w:pStyle w:val="Compact"/>
              <w:jc w:val="left"/>
            </w:pPr>
            <w:r>
              <w:t xml:space="preserve">Interactive web search</w:t>
            </w:r>
          </w:p>
        </w:tc>
        <w:tc>
          <w:tcPr/>
          <w:p>
            <w:pPr>
              <w:pStyle w:val="Compact"/>
              <w:jc w:val="center"/>
            </w:pPr>
            <w:r>
              <w:t xml:space="preserve">No</w:t>
            </w:r>
          </w:p>
        </w:tc>
        <w:tc>
          <w:tcPr/>
          <w:p>
            <w:pPr>
              <w:pStyle w:val="Compact"/>
              <w:jc w:val="left"/>
            </w:pPr>
            <w:r>
              <w:t xml:space="preserve">Polish, English</w:t>
            </w:r>
          </w:p>
        </w:tc>
        <w:tc>
          <w:tcPr/>
          <w:p>
            <w:pPr>
              <w:pStyle w:val="Compact"/>
              <w:jc w:val="center"/>
            </w:pPr>
            <w:r>
              <w:t xml:space="preserve">2026</w:t>
            </w:r>
          </w:p>
        </w:tc>
        <w:tc>
          <w:tcPr/>
          <w:p>
            <w:pPr>
              <w:pStyle w:val="Compact"/>
              <w:jc w:val="left"/>
            </w:pPr>
            <w:r>
              <w:t xml:space="preserve">51,711 entries</w:t>
            </w:r>
          </w:p>
        </w:tc>
        <w:tc>
          <w:tcPr/>
          <w:p>
            <w:pPr>
              <w:pStyle w:val="Compact"/>
              <w:jc w:val="center"/>
            </w:pPr>
            <w:r>
              <w:t xml:space="preserve">Substantive</w:t>
            </w:r>
          </w:p>
        </w:tc>
      </w:tr>
      <w:tr>
        <w:tc>
          <w:tcPr/>
          <w:p>
            <w:pPr>
              <w:pStyle w:val="Compact"/>
              <w:jc w:val="left"/>
            </w:pPr>
            <w:r>
              <w:t xml:space="preserve">Portugal (PT)</w:t>
            </w:r>
          </w:p>
        </w:tc>
        <w:tc>
          <w:tcPr/>
          <w:p>
            <w:pPr>
              <w:pStyle w:val="Compact"/>
              <w:jc w:val="left"/>
            </w:pPr>
            <w:r>
              <w:t xml:space="preserve">SPA</w:t>
            </w:r>
          </w:p>
        </w:tc>
        <w:tc>
          <w:tcPr/>
          <w:p>
            <w:pPr>
              <w:pStyle w:val="Compact"/>
              <w:jc w:val="center"/>
            </w:pPr>
            <w:r>
              <w:t xml:space="preserve">N</w:t>
            </w:r>
          </w:p>
        </w:tc>
        <w:tc>
          <w:tcPr/>
          <w:p>
            <w:pPr>
              <w:pStyle w:val="Compact"/>
              <w:jc w:val="left"/>
            </w:pPr>
            <w:r>
              <w:t xml:space="preserve">spautores.pt</w:t>
            </w:r>
            <w:r>
              <w:t xml:space="preserve"> </w:t>
            </w:r>
            <w:r>
              <w:rPr>
                <w:vertAlign w:val="superscript"/>
              </w:rPr>
              <w:footnoteReference w:id="57"/>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Romania (RO)</w:t>
            </w:r>
          </w:p>
        </w:tc>
        <w:tc>
          <w:tcPr/>
          <w:p>
            <w:pPr>
              <w:pStyle w:val="Compact"/>
              <w:jc w:val="left"/>
            </w:pPr>
            <w:r>
              <w:t xml:space="preserve">UCMR-ADA</w:t>
            </w:r>
          </w:p>
        </w:tc>
        <w:tc>
          <w:tcPr/>
          <w:p>
            <w:pPr>
              <w:pStyle w:val="Compact"/>
              <w:jc w:val="center"/>
            </w:pPr>
            <w:r>
              <w:rPr>
                <w:bCs/>
                <w:b/>
              </w:rPr>
              <w:t xml:space="preserve">Y</w:t>
            </w:r>
          </w:p>
        </w:tc>
        <w:tc>
          <w:tcPr/>
          <w:p>
            <w:pPr>
              <w:pStyle w:val="Compact"/>
              <w:jc w:val="left"/>
            </w:pPr>
            <w:r>
              <w:t xml:space="preserve">ucmr-ada.ro</w:t>
            </w:r>
            <w:r>
              <w:t xml:space="preserve"> </w:t>
            </w:r>
            <w:fldSimple w:instr="NOTEREF _Ref_Footnote_3 \h \f">
              <w:r>
                <w:rPr>
                  <w:vertAlign w:val="superscript"/>
                </w:rPr>
                <w:t>3</w:t>
              </w:r>
            </w:fldSimple>
          </w:p>
        </w:tc>
        <w:tc>
          <w:tcPr/>
          <w:p>
            <w:pPr>
              <w:pStyle w:val="Compact"/>
              <w:jc w:val="left"/>
            </w:pPr>
            <w:r>
              <w:t xml:space="preserve">PDF (monthly)</w:t>
            </w:r>
          </w:p>
        </w:tc>
        <w:tc>
          <w:tcPr/>
          <w:p>
            <w:pPr>
              <w:pStyle w:val="Compact"/>
              <w:jc w:val="center"/>
            </w:pPr>
            <w:r>
              <w:t xml:space="preserve">No</w:t>
            </w:r>
          </w:p>
        </w:tc>
        <w:tc>
          <w:tcPr/>
          <w:p>
            <w:pPr>
              <w:pStyle w:val="Compact"/>
              <w:jc w:val="left"/>
            </w:pPr>
            <w:r>
              <w:t xml:space="preserve">Romanian</w:t>
            </w:r>
          </w:p>
        </w:tc>
        <w:tc>
          <w:tcPr/>
          <w:p>
            <w:pPr>
              <w:pStyle w:val="Compact"/>
              <w:jc w:val="center"/>
            </w:pPr>
            <w:r>
              <w:t xml:space="preserve">Jan 2026</w:t>
            </w:r>
          </w:p>
        </w:tc>
        <w:tc>
          <w:tcPr/>
          <w:p>
            <w:pPr>
              <w:pStyle w:val="Compact"/>
              <w:jc w:val="left"/>
            </w:pPr>
            <w:r>
              <w:t xml:space="preserve">Hundreds/month</w:t>
            </w:r>
          </w:p>
        </w:tc>
        <w:tc>
          <w:tcPr/>
          <w:p>
            <w:pPr>
              <w:pStyle w:val="Compact"/>
              <w:jc w:val="center"/>
            </w:pPr>
            <w:r>
              <w:t xml:space="preserve">Substantive</w:t>
            </w:r>
          </w:p>
        </w:tc>
      </w:tr>
      <w:tr>
        <w:tc>
          <w:tcPr/>
          <w:p>
            <w:pPr>
              <w:pStyle w:val="Compact"/>
              <w:jc w:val="left"/>
            </w:pPr>
            <w:r>
              <w:t xml:space="preserve">Slovakia (SK)</w:t>
            </w:r>
          </w:p>
        </w:tc>
        <w:tc>
          <w:tcPr/>
          <w:p>
            <w:pPr>
              <w:pStyle w:val="Compact"/>
              <w:jc w:val="left"/>
            </w:pPr>
            <w:r>
              <w:t xml:space="preserve">SOZA</w:t>
            </w:r>
          </w:p>
        </w:tc>
        <w:tc>
          <w:tcPr/>
          <w:p>
            <w:pPr>
              <w:pStyle w:val="Compact"/>
              <w:jc w:val="center"/>
            </w:pPr>
            <w:r>
              <w:rPr>
                <w:bCs/>
                <w:b/>
              </w:rPr>
              <w:t xml:space="preserve">Y</w:t>
            </w:r>
          </w:p>
        </w:tc>
        <w:tc>
          <w:tcPr/>
          <w:p>
            <w:pPr>
              <w:pStyle w:val="Compact"/>
              <w:jc w:val="left"/>
            </w:pPr>
            <w:r>
              <w:t xml:space="preserve">soza.sk</w:t>
            </w:r>
            <w:r>
              <w:t xml:space="preserve"> </w:t>
            </w:r>
            <w:fldSimple w:instr="NOTEREF _Ref_Footnote_5 \h \f">
              <w:r>
                <w:rPr>
                  <w:vertAlign w:val="superscript"/>
                </w:rPr>
                <w:t>5</w:t>
              </w:r>
            </w:fldSimple>
          </w:p>
        </w:tc>
        <w:tc>
          <w:tcPr/>
          <w:p>
            <w:pPr>
              <w:pStyle w:val="Compact"/>
              <w:jc w:val="left"/>
            </w:pPr>
            <w:r>
              <w:t xml:space="preserve">Excel (.xlsx)</w:t>
            </w:r>
          </w:p>
        </w:tc>
        <w:tc>
          <w:tcPr/>
          <w:p>
            <w:pPr>
              <w:pStyle w:val="Compact"/>
              <w:jc w:val="center"/>
            </w:pPr>
            <w:r>
              <w:t xml:space="preserve">No</w:t>
            </w:r>
          </w:p>
        </w:tc>
        <w:tc>
          <w:tcPr/>
          <w:p>
            <w:pPr>
              <w:pStyle w:val="Compact"/>
              <w:jc w:val="left"/>
            </w:pPr>
            <w:r>
              <w:t xml:space="preserve">Slovak</w:t>
            </w:r>
          </w:p>
        </w:tc>
        <w:tc>
          <w:tcPr/>
          <w:p>
            <w:pPr>
              <w:pStyle w:val="Compact"/>
              <w:jc w:val="center"/>
            </w:pPr>
            <w:r>
              <w:t xml:space="preserve">2024–2025</w:t>
            </w:r>
          </w:p>
        </w:tc>
        <w:tc>
          <w:tcPr/>
          <w:p>
            <w:pPr>
              <w:pStyle w:val="Compact"/>
              <w:jc w:val="left"/>
            </w:pPr>
            <w:r>
              <w:t xml:space="preserve">Hundreds–thousands</w:t>
            </w:r>
          </w:p>
        </w:tc>
        <w:tc>
          <w:tcPr/>
          <w:p>
            <w:pPr>
              <w:pStyle w:val="Compact"/>
              <w:jc w:val="center"/>
            </w:pPr>
            <w:r>
              <w:t xml:space="preserve">Substantive</w:t>
            </w:r>
          </w:p>
        </w:tc>
      </w:tr>
      <w:tr>
        <w:tc>
          <w:tcPr/>
          <w:p>
            <w:pPr>
              <w:pStyle w:val="Compact"/>
              <w:jc w:val="left"/>
            </w:pPr>
            <w:r>
              <w:t xml:space="preserve">Slovenia (SI)</w:t>
            </w:r>
          </w:p>
        </w:tc>
        <w:tc>
          <w:tcPr/>
          <w:p>
            <w:pPr>
              <w:pStyle w:val="Compact"/>
              <w:jc w:val="left"/>
            </w:pPr>
            <w:r>
              <w:t xml:space="preserve">SAZAS</w:t>
            </w:r>
          </w:p>
        </w:tc>
        <w:tc>
          <w:tcPr/>
          <w:p>
            <w:pPr>
              <w:pStyle w:val="Compact"/>
              <w:jc w:val="center"/>
            </w:pPr>
            <w:r>
              <w:t xml:space="preserve">Partial</w:t>
            </w:r>
          </w:p>
        </w:tc>
        <w:tc>
          <w:tcPr/>
          <w:p>
            <w:pPr>
              <w:pStyle w:val="Compact"/>
              <w:jc w:val="left"/>
            </w:pPr>
            <w:r>
              <w:t xml:space="preserve">sazas.org</w:t>
            </w:r>
            <w:r>
              <w:t xml:space="preserve"> </w:t>
            </w:r>
            <w:r>
              <w:rPr>
                <w:vertAlign w:val="superscript"/>
              </w:rPr>
              <w:footnoteReference w:id="58"/>
            </w:r>
          </w:p>
        </w:tc>
        <w:tc>
          <w:tcPr/>
          <w:p>
            <w:pPr>
              <w:pStyle w:val="Compact"/>
              <w:jc w:val="left"/>
            </w:pPr>
            <w:r>
              <w:t xml:space="preserve">Web portal (members)</w:t>
            </w:r>
          </w:p>
        </w:tc>
        <w:tc>
          <w:tcPr/>
          <w:p>
            <w:pPr>
              <w:pStyle w:val="Compact"/>
              <w:jc w:val="center"/>
            </w:pPr>
            <w:r>
              <w:t xml:space="preserve">Yes</w:t>
            </w:r>
          </w:p>
        </w:tc>
        <w:tc>
          <w:tcPr/>
          <w:p>
            <w:pPr>
              <w:pStyle w:val="Compact"/>
              <w:jc w:val="left"/>
            </w:pPr>
            <w:r>
              <w:t xml:space="preserve">Slovenian</w:t>
            </w:r>
          </w:p>
        </w:tc>
        <w:tc>
          <w:tcPr/>
          <w:p>
            <w:pPr>
              <w:pStyle w:val="Compact"/>
              <w:jc w:val="center"/>
            </w:pPr>
            <w:r>
              <w:t xml:space="preserve">2018 last public</w:t>
            </w:r>
          </w:p>
        </w:tc>
        <w:tc>
          <w:tcPr/>
          <w:p>
            <w:pPr>
              <w:pStyle w:val="Compact"/>
              <w:jc w:val="left"/>
            </w:pPr>
            <w:r>
              <w:t xml:space="preserve">Unknown</w:t>
            </w:r>
          </w:p>
        </w:tc>
        <w:tc>
          <w:tcPr/>
          <w:p>
            <w:pPr>
              <w:pStyle w:val="Compact"/>
              <w:jc w:val="center"/>
            </w:pPr>
            <w:r>
              <w:t xml:space="preserve">Formal</w:t>
            </w:r>
          </w:p>
        </w:tc>
      </w:tr>
      <w:tr>
        <w:tc>
          <w:tcPr/>
          <w:p>
            <w:pPr>
              <w:pStyle w:val="Compact"/>
              <w:jc w:val="left"/>
            </w:pPr>
            <w:r>
              <w:t xml:space="preserve">Spain (ES)</w:t>
            </w:r>
          </w:p>
        </w:tc>
        <w:tc>
          <w:tcPr/>
          <w:p>
            <w:pPr>
              <w:pStyle w:val="Compact"/>
              <w:jc w:val="left"/>
            </w:pPr>
            <w:r>
              <w:t xml:space="preserve">SGAE</w:t>
            </w:r>
          </w:p>
        </w:tc>
        <w:tc>
          <w:tcPr/>
          <w:p>
            <w:pPr>
              <w:pStyle w:val="Compact"/>
              <w:jc w:val="center"/>
            </w:pPr>
            <w:r>
              <w:rPr>
                <w:bCs/>
                <w:b/>
              </w:rPr>
              <w:t xml:space="preserve">Y</w:t>
            </w:r>
          </w:p>
        </w:tc>
        <w:tc>
          <w:tcPr/>
          <w:p>
            <w:pPr>
              <w:pStyle w:val="Compact"/>
              <w:jc w:val="left"/>
            </w:pPr>
            <w:r>
              <w:t xml:space="preserve">sgae.es</w:t>
            </w:r>
            <w:r>
              <w:t xml:space="preserve"> </w:t>
            </w:r>
            <w:r>
              <w:rPr>
                <w:vertAlign w:val="superscript"/>
              </w:rPr>
              <w:footnoteReference w:id="59"/>
            </w:r>
          </w:p>
        </w:tc>
        <w:tc>
          <w:tcPr/>
          <w:p>
            <w:pPr>
              <w:pStyle w:val="Compact"/>
              <w:jc w:val="left"/>
            </w:pPr>
            <w:r>
              <w:t xml:space="preserve">PDF (downloadable)</w:t>
            </w:r>
          </w:p>
        </w:tc>
        <w:tc>
          <w:tcPr/>
          <w:p>
            <w:pPr>
              <w:pStyle w:val="Compact"/>
              <w:jc w:val="center"/>
            </w:pPr>
            <w:r>
              <w:t xml:space="preserve">No</w:t>
            </w:r>
          </w:p>
        </w:tc>
        <w:tc>
          <w:tcPr/>
          <w:p>
            <w:pPr>
              <w:pStyle w:val="Compact"/>
              <w:jc w:val="left"/>
            </w:pPr>
            <w:r>
              <w:t xml:space="preserve">Spanish</w:t>
            </w:r>
          </w:p>
        </w:tc>
        <w:tc>
          <w:tcPr/>
          <w:p>
            <w:pPr>
              <w:pStyle w:val="Compact"/>
              <w:jc w:val="center"/>
            </w:pPr>
            <w:r>
              <w:t xml:space="preserve">2025</w:t>
            </w:r>
          </w:p>
        </w:tc>
        <w:tc>
          <w:tcPr/>
          <w:p>
            <w:pPr>
              <w:pStyle w:val="Compact"/>
              <w:jc w:val="left"/>
            </w:pPr>
            <w:r>
              <w:t xml:space="preserve">10M+ works managed</w:t>
            </w:r>
          </w:p>
        </w:tc>
        <w:tc>
          <w:tcPr/>
          <w:p>
            <w:pPr>
              <w:pStyle w:val="Compact"/>
              <w:jc w:val="center"/>
            </w:pPr>
            <w:r>
              <w:t xml:space="preserve">Substantive</w:t>
            </w:r>
          </w:p>
        </w:tc>
      </w:tr>
      <w:tr>
        <w:tc>
          <w:tcPr/>
          <w:p>
            <w:pPr>
              <w:pStyle w:val="Compact"/>
              <w:jc w:val="left"/>
            </w:pPr>
            <w:r>
              <w:t xml:space="preserve">Sweden (SE)</w:t>
            </w:r>
          </w:p>
        </w:tc>
        <w:tc>
          <w:tcPr/>
          <w:p>
            <w:pPr>
              <w:pStyle w:val="Compact"/>
              <w:jc w:val="left"/>
            </w:pPr>
            <w:r>
              <w:t xml:space="preserve">STIM</w:t>
            </w:r>
          </w:p>
        </w:tc>
        <w:tc>
          <w:tcPr/>
          <w:p>
            <w:pPr>
              <w:pStyle w:val="Compact"/>
              <w:jc w:val="center"/>
            </w:pPr>
            <w:r>
              <w:rPr>
                <w:bCs/>
                <w:b/>
              </w:rPr>
              <w:t xml:space="preserve">Y</w:t>
            </w:r>
          </w:p>
        </w:tc>
        <w:tc>
          <w:tcPr/>
          <w:p>
            <w:pPr>
              <w:pStyle w:val="Compact"/>
              <w:jc w:val="left"/>
            </w:pPr>
            <w:r>
              <w:t xml:space="preserve">stim.se</w:t>
            </w:r>
            <w:r>
              <w:t xml:space="preserve"> </w:t>
            </w:r>
            <w:fldSimple w:instr="NOTEREF _Ref_Footnote_42 \h \f">
              <w:r>
                <w:rPr>
                  <w:vertAlign w:val="superscript"/>
                </w:rPr>
                <w:t>42</w:t>
              </w:r>
            </w:fldSimple>
          </w:p>
        </w:tc>
        <w:tc>
          <w:tcPr/>
          <w:p>
            <w:pPr>
              <w:pStyle w:val="Compact"/>
              <w:jc w:val="left"/>
            </w:pPr>
            <w:r>
              <w:t xml:space="preserve">XLSX (quarterly)</w:t>
            </w:r>
          </w:p>
        </w:tc>
        <w:tc>
          <w:tcPr/>
          <w:p>
            <w:pPr>
              <w:pStyle w:val="Compact"/>
              <w:jc w:val="center"/>
            </w:pPr>
            <w:r>
              <w:t xml:space="preserve">No</w:t>
            </w:r>
          </w:p>
        </w:tc>
        <w:tc>
          <w:tcPr/>
          <w:p>
            <w:pPr>
              <w:pStyle w:val="Compact"/>
              <w:jc w:val="left"/>
            </w:pPr>
            <w:r>
              <w:t xml:space="preserve">Swedish</w:t>
            </w:r>
          </w:p>
        </w:tc>
        <w:tc>
          <w:tcPr/>
          <w:p>
            <w:pPr>
              <w:pStyle w:val="Compact"/>
              <w:jc w:val="center"/>
            </w:pPr>
            <w:r>
              <w:t xml:space="preserve">2026</w:t>
            </w:r>
          </w:p>
        </w:tc>
        <w:tc>
          <w:tcPr/>
          <w:p>
            <w:pPr>
              <w:pStyle w:val="Compact"/>
              <w:jc w:val="left"/>
            </w:pPr>
            <w:r>
              <w:t xml:space="preserve">SEK 32M held</w:t>
            </w:r>
          </w:p>
        </w:tc>
        <w:tc>
          <w:tcPr/>
          <w:p>
            <w:pPr>
              <w:pStyle w:val="Compact"/>
              <w:jc w:val="center"/>
            </w:pPr>
            <w:r>
              <w:t xml:space="preserve">Substantive</w:t>
            </w:r>
          </w:p>
        </w:tc>
      </w:tr>
      <w:tr>
        <w:tc>
          <w:tcPr/>
          <w:p>
            <w:pPr>
              <w:pStyle w:val="Compact"/>
              <w:jc w:val="left"/>
            </w:pPr>
            <w:r>
              <w:t xml:space="preserve">Switzerland (CH)</w:t>
            </w:r>
          </w:p>
        </w:tc>
        <w:tc>
          <w:tcPr/>
          <w:p>
            <w:pPr>
              <w:pStyle w:val="Compact"/>
              <w:jc w:val="left"/>
            </w:pPr>
            <w:r>
              <w:t xml:space="preserve">SUISA</w:t>
            </w:r>
          </w:p>
        </w:tc>
        <w:tc>
          <w:tcPr/>
          <w:p>
            <w:pPr>
              <w:pStyle w:val="Compact"/>
              <w:jc w:val="center"/>
            </w:pPr>
            <w:r>
              <w:t xml:space="preserve">N*</w:t>
            </w:r>
          </w:p>
        </w:tc>
        <w:tc>
          <w:tcPr/>
          <w:p>
            <w:pPr>
              <w:pStyle w:val="Compact"/>
              <w:jc w:val="left"/>
            </w:pPr>
            <w:r>
              <w:t xml:space="preserve">suisa.ch</w:t>
            </w:r>
            <w:r>
              <w:t xml:space="preserve"> </w:t>
            </w:r>
            <w:r>
              <w:rPr>
                <w:vertAlign w:val="superscript"/>
              </w:rPr>
              <w:footnoteReference w:id="60"/>
            </w:r>
          </w:p>
        </w:tc>
        <w:tc>
          <w:tcPr/>
          <w:p>
            <w:pPr>
              <w:pStyle w:val="Compact"/>
              <w:jc w:val="left"/>
            </w:pPr>
            <w:r>
              <w:t xml:space="preserve">Public works DB only</w:t>
            </w:r>
          </w:p>
        </w:tc>
        <w:tc>
          <w:tcPr/>
          <w:p>
            <w:pPr>
              <w:pStyle w:val="Compact"/>
              <w:jc w:val="center"/>
            </w:pPr>
            <w:r>
              <w:t xml:space="preserve">No</w:t>
            </w:r>
          </w:p>
        </w:tc>
        <w:tc>
          <w:tcPr/>
          <w:p>
            <w:pPr>
              <w:pStyle w:val="Compact"/>
              <w:jc w:val="left"/>
            </w:pPr>
            <w:r>
              <w:t xml:space="preserve">DE, FR, IT, EN</w:t>
            </w:r>
          </w:p>
        </w:tc>
        <w:tc>
          <w:tcPr/>
          <w:p>
            <w:pPr>
              <w:pStyle w:val="Compact"/>
              <w:jc w:val="center"/>
            </w:pPr>
            <w:r>
              <w:t xml:space="preserve">2026</w:t>
            </w:r>
          </w:p>
        </w:tc>
        <w:tc>
          <w:tcPr/>
          <w:p>
            <w:pPr>
              <w:pStyle w:val="Compact"/>
              <w:jc w:val="left"/>
            </w:pPr>
            <w:r>
              <w:t xml:space="preserve">45K+ works</w:t>
            </w:r>
          </w:p>
        </w:tc>
        <w:tc>
          <w:tcPr/>
          <w:p>
            <w:pPr>
              <w:pStyle w:val="Compact"/>
              <w:jc w:val="center"/>
            </w:pPr>
            <w:r>
              <w:t xml:space="preserve">None*</w:t>
            </w:r>
          </w:p>
        </w:tc>
      </w:tr>
      <w:tr>
        <w:tc>
          <w:tcPr/>
          <w:p>
            <w:pPr>
              <w:pStyle w:val="Compact"/>
              <w:jc w:val="left"/>
            </w:pPr>
            <w:r>
              <w:t xml:space="preserve">United Kingdom (UK)</w:t>
            </w:r>
          </w:p>
        </w:tc>
        <w:tc>
          <w:tcPr/>
          <w:p>
            <w:pPr>
              <w:pStyle w:val="Compact"/>
              <w:jc w:val="left"/>
            </w:pPr>
            <w:r>
              <w:t xml:space="preserve">PRS for Music</w:t>
            </w:r>
          </w:p>
        </w:tc>
        <w:tc>
          <w:tcPr/>
          <w:p>
            <w:pPr>
              <w:pStyle w:val="Compact"/>
              <w:jc w:val="center"/>
            </w:pPr>
            <w:r>
              <w:rPr>
                <w:bCs/>
                <w:b/>
              </w:rPr>
              <w:t xml:space="preserve">Y</w:t>
            </w:r>
          </w:p>
        </w:tc>
        <w:tc>
          <w:tcPr/>
          <w:p>
            <w:pPr>
              <w:pStyle w:val="Compact"/>
              <w:jc w:val="left"/>
            </w:pPr>
            <w:r>
              <w:t xml:space="preserve">prsformusic.com</w:t>
            </w:r>
            <w:r>
              <w:t xml:space="preserve"> </w:t>
            </w:r>
            <w:r>
              <w:rPr>
                <w:vertAlign w:val="superscript"/>
              </w:rPr>
              <w:footnoteReference w:id="61"/>
            </w:r>
          </w:p>
        </w:tc>
        <w:tc>
          <w:tcPr/>
          <w:p>
            <w:pPr>
              <w:pStyle w:val="Compact"/>
              <w:jc w:val="left"/>
            </w:pPr>
            <w:r>
              <w:t xml:space="preserve">PDF/CSV by value band</w:t>
            </w:r>
          </w:p>
        </w:tc>
        <w:tc>
          <w:tcPr/>
          <w:p>
            <w:pPr>
              <w:pStyle w:val="Compact"/>
              <w:jc w:val="center"/>
            </w:pPr>
            <w:r>
              <w:t xml:space="preserve">No</w:t>
            </w:r>
          </w:p>
        </w:tc>
        <w:tc>
          <w:tcPr/>
          <w:p>
            <w:pPr>
              <w:pStyle w:val="Compact"/>
              <w:jc w:val="left"/>
            </w:pPr>
            <w:r>
              <w:t xml:space="preserve">English</w:t>
            </w:r>
          </w:p>
        </w:tc>
        <w:tc>
          <w:tcPr/>
          <w:p>
            <w:pPr>
              <w:pStyle w:val="Compact"/>
              <w:jc w:val="center"/>
            </w:pPr>
            <w:r>
              <w:t xml:space="preserve">Monthly (2026)</w:t>
            </w:r>
          </w:p>
        </w:tc>
        <w:tc>
          <w:tcPr/>
          <w:p>
            <w:pPr>
              <w:pStyle w:val="Compact"/>
              <w:jc w:val="left"/>
            </w:pPr>
            <w:r>
              <w:t xml:space="preserve">Multiple list types</w:t>
            </w:r>
          </w:p>
        </w:tc>
        <w:tc>
          <w:tcPr/>
          <w:p>
            <w:pPr>
              <w:pStyle w:val="Compact"/>
              <w:jc w:val="center"/>
            </w:pPr>
            <w:r>
              <w:t xml:space="preserve">Substantive</w:t>
            </w:r>
          </w:p>
        </w:tc>
      </w:tr>
    </w:tbl>
    <w:p>
      <w:pPr>
        <w:pStyle w:val="BodyText"/>
      </w:pPr>
      <w:r>
        <w:t xml:space="preserve">* SUISA’s public database contains only fully documented works; it explicitly excludes unidentified or provisional works and therefore does not function as an Article 13 registry</w:t>
      </w:r>
      <w:r>
        <w:t xml:space="preserve"> </w:t>
      </w:r>
      <w:fldSimple w:instr="NOTEREF _Ref_Footnote_60 \h \f">
        <w:r>
          <w:rPr>
            <w:vertAlign w:val="superscript"/>
          </w:rPr>
          <w:t>60</w:t>
        </w:r>
      </w:fldSimple>
      <w:r>
        <w:t xml:space="preserve">.</w:t>
      </w:r>
    </w:p>
    <w:p>
      <w:pPr>
        <w:pStyle w:val="BodyText"/>
      </w:pPr>
      <w:r>
        <w:rPr>
          <w:bCs/>
          <w:b/>
        </w:rPr>
        <w:t xml:space="preserve">Analytical interpretation.</w:t>
      </w:r>
      <w:r>
        <w:t xml:space="preserve"> </w:t>
      </w:r>
      <w:r>
        <w:t xml:space="preserve">Of 32 author rights CMOs surveyed, 12 (37.5%) achieve substantive compliance by maintaining publicly accessible unidentified works registries. Nine CMOs (28%) offer only formal compliance through members-only tools or internal systems. Eight CMOs (25%) show no evidence of any registry, public or private. Three CMOs (9.5%) — in Cyprus, Iceland, and Malta — could not be fully assessed due to inaccessible websites or unidentifiable organisations. The geographic pattern is striking: substantive compliance concentrates in Northern Europe (Denmark, Estonia, Finland via Gramex for neighbouring), Central Europe (Poland, Slovakia, Czech Republic with members-only), and the Balkans (Croatia, Bulgaria, Romania), while Western Europe (Austria, Belgium, Portugal, Greece) and the Baltics (Latvia, Lithuania) present a near-total compliance void.</w:t>
      </w:r>
    </w:p>
    <w:bookmarkEnd w:id="32"/>
    <w:bookmarkStart w:id="33" w:name="neighbouring-and-performer-rights-cmos"/>
    <w:p>
      <w:pPr>
        <w:pStyle w:val="Heading4"/>
      </w:pPr>
      <w:r>
        <w:t xml:space="preserve">2.1.2 Neighbouring and Performer Rights CMOs</w:t>
      </w:r>
    </w:p>
    <w:p>
      <w:pPr>
        <w:pStyle w:val="FirstParagraph"/>
      </w:pPr>
      <w:r>
        <w:t xml:space="preserve">The following table catalogues all 30 neighbouring and performer rights CMOs researched. This sector exhibits dramatically lower compliance rates than author rights CMOs, reflecting a structural transparency deficit that disproportionately affects session musicians, backing vocalists, and classical performers — often the most vulnerable creator categories.</w:t>
      </w:r>
    </w:p>
    <w:tbl>
      <w:tblPr>
        <w:tblStyle w:val="Table"/>
        <w:tblW w:type="pct" w:w="5000"/>
        <w:tblLook w:firstRow="1" w:lastRow="0" w:firstColumn="0" w:lastColumn="0" w:noHBand="0" w:noVBand="0" w:val="0020"/>
      </w:tblPr>
      <w:tblGrid>
        <w:gridCol w:w="636"/>
        <w:gridCol w:w="353"/>
        <w:gridCol w:w="919"/>
        <w:gridCol w:w="1202"/>
        <w:gridCol w:w="565"/>
        <w:gridCol w:w="1131"/>
        <w:gridCol w:w="777"/>
        <w:gridCol w:w="990"/>
        <w:gridCol w:w="495"/>
        <w:gridCol w:w="848"/>
      </w:tblGrid>
      <w:tr>
        <w:trPr>
          <w:tblHeader w:val="true"/>
        </w:trPr>
        <w:tc>
          <w:tcPr/>
          <w:p>
            <w:pPr>
              <w:pStyle w:val="Compact"/>
              <w:jc w:val="left"/>
            </w:pPr>
            <w:r>
              <w:t xml:space="preserve">Country</w:t>
            </w:r>
          </w:p>
        </w:tc>
        <w:tc>
          <w:tcPr/>
          <w:p>
            <w:pPr>
              <w:pStyle w:val="Compact"/>
              <w:jc w:val="left"/>
            </w:pPr>
            <w:r>
              <w:t xml:space="preserve">CMO</w:t>
            </w:r>
          </w:p>
        </w:tc>
        <w:tc>
          <w:tcPr/>
          <w:p>
            <w:pPr>
              <w:pStyle w:val="Compact"/>
              <w:jc w:val="center"/>
            </w:pPr>
            <w:r>
              <w:t xml:space="preserve">Public List</w:t>
            </w:r>
          </w:p>
        </w:tc>
        <w:tc>
          <w:tcPr/>
          <w:p>
            <w:pPr>
              <w:pStyle w:val="Compact"/>
              <w:jc w:val="left"/>
            </w:pPr>
            <w:r>
              <w:t xml:space="preserve">URL / Reference</w:t>
            </w:r>
          </w:p>
        </w:tc>
        <w:tc>
          <w:tcPr/>
          <w:p>
            <w:pPr>
              <w:pStyle w:val="Compact"/>
              <w:jc w:val="left"/>
            </w:pPr>
            <w:r>
              <w:t xml:space="preserve">Format</w:t>
            </w:r>
          </w:p>
        </w:tc>
        <w:tc>
          <w:tcPr/>
          <w:p>
            <w:pPr>
              <w:pStyle w:val="Compact"/>
              <w:jc w:val="center"/>
            </w:pPr>
            <w:r>
              <w:t xml:space="preserve">Login Required</w:t>
            </w:r>
          </w:p>
        </w:tc>
        <w:tc>
          <w:tcPr/>
          <w:p>
            <w:pPr>
              <w:pStyle w:val="Compact"/>
              <w:jc w:val="left"/>
            </w:pPr>
            <w:r>
              <w:t xml:space="preserve">Languages</w:t>
            </w:r>
          </w:p>
        </w:tc>
        <w:tc>
          <w:tcPr/>
          <w:p>
            <w:pPr>
              <w:pStyle w:val="Compact"/>
              <w:jc w:val="center"/>
            </w:pPr>
            <w:r>
              <w:t xml:space="preserve">Last Updated</w:t>
            </w:r>
          </w:p>
        </w:tc>
        <w:tc>
          <w:tcPr/>
          <w:p>
            <w:pPr>
              <w:pStyle w:val="Compact"/>
              <w:jc w:val="left"/>
            </w:pPr>
            <w:r>
              <w:t xml:space="preserve">Scale</w:t>
            </w:r>
          </w:p>
        </w:tc>
        <w:tc>
          <w:tcPr/>
          <w:p>
            <w:pPr>
              <w:pStyle w:val="Compact"/>
              <w:jc w:val="center"/>
            </w:pPr>
            <w:r>
              <w:t xml:space="preserve">Compliance</w:t>
            </w:r>
          </w:p>
        </w:tc>
      </w:tr>
      <w:tr>
        <w:tc>
          <w:tcPr/>
          <w:p>
            <w:pPr>
              <w:pStyle w:val="Compact"/>
              <w:jc w:val="left"/>
            </w:pPr>
            <w:r>
              <w:t xml:space="preserve">Austria (AT)</w:t>
            </w:r>
          </w:p>
        </w:tc>
        <w:tc>
          <w:tcPr/>
          <w:p>
            <w:pPr>
              <w:pStyle w:val="Compact"/>
              <w:jc w:val="left"/>
            </w:pPr>
            <w:r>
              <w:t xml:space="preserve">LSG</w:t>
            </w:r>
          </w:p>
        </w:tc>
        <w:tc>
          <w:tcPr/>
          <w:p>
            <w:pPr>
              <w:pStyle w:val="Compact"/>
              <w:jc w:val="center"/>
            </w:pPr>
            <w:r>
              <w:t xml:space="preserve">N</w:t>
            </w:r>
          </w:p>
        </w:tc>
        <w:tc>
          <w:tcPr/>
          <w:p>
            <w:pPr>
              <w:pStyle w:val="Compact"/>
              <w:jc w:val="left"/>
            </w:pPr>
            <w:r>
              <w:t xml:space="preserve">lsg.at</w:t>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Belgium (BE)</w:t>
            </w:r>
          </w:p>
        </w:tc>
        <w:tc>
          <w:tcPr/>
          <w:p>
            <w:pPr>
              <w:pStyle w:val="Compact"/>
              <w:jc w:val="left"/>
            </w:pPr>
            <w:r>
              <w:t xml:space="preserve">PlayRight</w:t>
            </w:r>
          </w:p>
        </w:tc>
        <w:tc>
          <w:tcPr/>
          <w:p>
            <w:pPr>
              <w:pStyle w:val="Compact"/>
              <w:jc w:val="center"/>
            </w:pPr>
            <w:r>
              <w:t xml:space="preserve">N</w:t>
            </w:r>
          </w:p>
        </w:tc>
        <w:tc>
          <w:tcPr/>
          <w:p>
            <w:pPr>
              <w:pStyle w:val="Compact"/>
              <w:jc w:val="left"/>
            </w:pPr>
            <w:r>
              <w:t xml:space="preserve">playright.be</w:t>
            </w:r>
            <w:r>
              <w:t xml:space="preserve"> </w:t>
            </w:r>
            <w:r>
              <w:rPr>
                <w:vertAlign w:val="superscript"/>
              </w:rPr>
              <w:footnoteReference w:id="62"/>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Croatia (HR)</w:t>
            </w:r>
          </w:p>
        </w:tc>
        <w:tc>
          <w:tcPr/>
          <w:p>
            <w:pPr>
              <w:pStyle w:val="Compact"/>
              <w:jc w:val="left"/>
            </w:pPr>
            <w:r>
              <w:t xml:space="preserve">HUZIP</w:t>
            </w:r>
          </w:p>
        </w:tc>
        <w:tc>
          <w:tcPr/>
          <w:p>
            <w:pPr>
              <w:pStyle w:val="Compact"/>
              <w:jc w:val="center"/>
            </w:pPr>
            <w:r>
              <w:t xml:space="preserve">N</w:t>
            </w:r>
          </w:p>
        </w:tc>
        <w:tc>
          <w:tcPr/>
          <w:p>
            <w:pPr>
              <w:pStyle w:val="Compact"/>
              <w:jc w:val="left"/>
            </w:pPr>
            <w:r>
              <w:t xml:space="preserve">huzip.hr</w:t>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Unknown</w:t>
            </w:r>
          </w:p>
        </w:tc>
      </w:tr>
      <w:tr>
        <w:tc>
          <w:tcPr/>
          <w:p>
            <w:pPr>
              <w:pStyle w:val="Compact"/>
              <w:jc w:val="left"/>
            </w:pPr>
            <w:r>
              <w:t xml:space="preserve">Croatia (HR)</w:t>
            </w:r>
          </w:p>
        </w:tc>
        <w:tc>
          <w:tcPr/>
          <w:p>
            <w:pPr>
              <w:pStyle w:val="Compact"/>
              <w:jc w:val="left"/>
            </w:pPr>
            <w:r>
              <w:t xml:space="preserve">ZAPRAF</w:t>
            </w:r>
          </w:p>
        </w:tc>
        <w:tc>
          <w:tcPr/>
          <w:p>
            <w:pPr>
              <w:pStyle w:val="Compact"/>
              <w:jc w:val="center"/>
            </w:pPr>
            <w:r>
              <w:t xml:space="preserve">N</w:t>
            </w:r>
          </w:p>
        </w:tc>
        <w:tc>
          <w:tcPr/>
          <w:p>
            <w:pPr>
              <w:pStyle w:val="Compact"/>
              <w:jc w:val="left"/>
            </w:pPr>
            <w:r>
              <w:t xml:space="preserve">zapraf.hr</w:t>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Unknown</w:t>
            </w:r>
          </w:p>
        </w:tc>
      </w:tr>
      <w:tr>
        <w:tc>
          <w:tcPr/>
          <w:p>
            <w:pPr>
              <w:pStyle w:val="Compact"/>
              <w:jc w:val="left"/>
            </w:pPr>
            <w:r>
              <w:t xml:space="preserve">Czech Republic (CZ)</w:t>
            </w:r>
          </w:p>
        </w:tc>
        <w:tc>
          <w:tcPr/>
          <w:p>
            <w:pPr>
              <w:pStyle w:val="Compact"/>
              <w:jc w:val="left"/>
            </w:pPr>
            <w:r>
              <w:t xml:space="preserve">INTERGRAM</w:t>
            </w:r>
          </w:p>
        </w:tc>
        <w:tc>
          <w:tcPr/>
          <w:p>
            <w:pPr>
              <w:pStyle w:val="Compact"/>
              <w:jc w:val="center"/>
            </w:pPr>
            <w:r>
              <w:rPr>
                <w:bCs/>
                <w:b/>
              </w:rPr>
              <w:t xml:space="preserve">Y</w:t>
            </w:r>
          </w:p>
        </w:tc>
        <w:tc>
          <w:tcPr/>
          <w:p>
            <w:pPr>
              <w:pStyle w:val="Compact"/>
              <w:jc w:val="left"/>
            </w:pPr>
            <w:r>
              <w:t xml:space="preserve">intergram.cz</w:t>
            </w:r>
            <w:r>
              <w:t xml:space="preserve"> </w:t>
            </w:r>
            <w:r>
              <w:rPr>
                <w:vertAlign w:val="superscript"/>
              </w:rPr>
              <w:footnoteReference w:id="63"/>
            </w:r>
          </w:p>
        </w:tc>
        <w:tc>
          <w:tcPr/>
          <w:p>
            <w:pPr>
              <w:pStyle w:val="Compact"/>
              <w:jc w:val="left"/>
            </w:pPr>
            <w:r>
              <w:t xml:space="preserve">Excel (2 files)</w:t>
            </w:r>
          </w:p>
        </w:tc>
        <w:tc>
          <w:tcPr/>
          <w:p>
            <w:pPr>
              <w:pStyle w:val="Compact"/>
              <w:jc w:val="center"/>
            </w:pPr>
            <w:r>
              <w:t xml:space="preserve">No</w:t>
            </w:r>
          </w:p>
        </w:tc>
        <w:tc>
          <w:tcPr/>
          <w:p>
            <w:pPr>
              <w:pStyle w:val="Compact"/>
              <w:jc w:val="left"/>
            </w:pPr>
            <w:r>
              <w:t xml:space="preserve">Czech</w:t>
            </w:r>
          </w:p>
        </w:tc>
        <w:tc>
          <w:tcPr/>
          <w:p>
            <w:pPr>
              <w:pStyle w:val="Compact"/>
              <w:jc w:val="center"/>
            </w:pPr>
            <w:r>
              <w:t xml:space="preserve">Jun 2025</w:t>
            </w:r>
          </w:p>
        </w:tc>
        <w:tc>
          <w:tcPr/>
          <w:p>
            <w:pPr>
              <w:pStyle w:val="Compact"/>
              <w:jc w:val="left"/>
            </w:pPr>
            <w:r>
              <w:t xml:space="preserve">Unknown</w:t>
            </w:r>
          </w:p>
        </w:tc>
        <w:tc>
          <w:tcPr/>
          <w:p>
            <w:pPr>
              <w:pStyle w:val="Compact"/>
              <w:jc w:val="center"/>
            </w:pPr>
            <w:r>
              <w:t xml:space="preserve">Substantive</w:t>
            </w:r>
          </w:p>
        </w:tc>
      </w:tr>
      <w:tr>
        <w:tc>
          <w:tcPr/>
          <w:p>
            <w:pPr>
              <w:pStyle w:val="Compact"/>
              <w:jc w:val="left"/>
            </w:pPr>
            <w:r>
              <w:t xml:space="preserve">Denmark (DK)</w:t>
            </w:r>
          </w:p>
        </w:tc>
        <w:tc>
          <w:tcPr/>
          <w:p>
            <w:pPr>
              <w:pStyle w:val="Compact"/>
              <w:jc w:val="left"/>
            </w:pPr>
            <w:r>
              <w:t xml:space="preserve">GRAMEX DK</w:t>
            </w:r>
          </w:p>
        </w:tc>
        <w:tc>
          <w:tcPr/>
          <w:p>
            <w:pPr>
              <w:pStyle w:val="Compact"/>
              <w:jc w:val="center"/>
            </w:pPr>
            <w:r>
              <w:t xml:space="preserve">N</w:t>
            </w:r>
          </w:p>
        </w:tc>
        <w:tc>
          <w:tcPr/>
          <w:p>
            <w:pPr>
              <w:pStyle w:val="Compact"/>
              <w:jc w:val="left"/>
            </w:pPr>
            <w:r>
              <w:t xml:space="preserve">gramex.dk</w:t>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DKK 14.8M</w:t>
            </w:r>
          </w:p>
        </w:tc>
        <w:tc>
          <w:tcPr/>
          <w:p>
            <w:pPr>
              <w:pStyle w:val="Compact"/>
              <w:jc w:val="center"/>
            </w:pPr>
            <w:r>
              <w:t xml:space="preserve">Formal</w:t>
            </w:r>
          </w:p>
        </w:tc>
      </w:tr>
      <w:tr>
        <w:tc>
          <w:tcPr/>
          <w:p>
            <w:pPr>
              <w:pStyle w:val="Compact"/>
              <w:jc w:val="left"/>
            </w:pPr>
            <w:r>
              <w:t xml:space="preserve">Estonia (EE)</w:t>
            </w:r>
          </w:p>
        </w:tc>
        <w:tc>
          <w:tcPr/>
          <w:p>
            <w:pPr>
              <w:pStyle w:val="Compact"/>
              <w:jc w:val="left"/>
            </w:pPr>
            <w:r>
              <w:t xml:space="preserve">EEL</w:t>
            </w:r>
          </w:p>
        </w:tc>
        <w:tc>
          <w:tcPr/>
          <w:p>
            <w:pPr>
              <w:pStyle w:val="Compact"/>
              <w:jc w:val="center"/>
            </w:pPr>
            <w:r>
              <w:rPr>
                <w:bCs/>
                <w:b/>
              </w:rPr>
              <w:t xml:space="preserve">Y</w:t>
            </w:r>
          </w:p>
        </w:tc>
        <w:tc>
          <w:tcPr/>
          <w:p>
            <w:pPr>
              <w:pStyle w:val="Compact"/>
              <w:jc w:val="left"/>
            </w:pPr>
            <w:r>
              <w:t xml:space="preserve">eel.ee</w:t>
            </w:r>
            <w:r>
              <w:t xml:space="preserve"> </w:t>
            </w:r>
            <w:r>
              <w:rPr>
                <w:vertAlign w:val="superscript"/>
              </w:rPr>
              <w:footnoteReference w:id="64"/>
            </w:r>
          </w:p>
        </w:tc>
        <w:tc>
          <w:tcPr/>
          <w:p>
            <w:pPr>
              <w:pStyle w:val="Compact"/>
              <w:jc w:val="left"/>
            </w:pPr>
            <w:r>
              <w:t xml:space="preserve">Excel (.xlsx)</w:t>
            </w:r>
          </w:p>
        </w:tc>
        <w:tc>
          <w:tcPr/>
          <w:p>
            <w:pPr>
              <w:pStyle w:val="Compact"/>
              <w:jc w:val="center"/>
            </w:pPr>
            <w:r>
              <w:t xml:space="preserve">No</w:t>
            </w:r>
          </w:p>
        </w:tc>
        <w:tc>
          <w:tcPr/>
          <w:p>
            <w:pPr>
              <w:pStyle w:val="Compact"/>
              <w:jc w:val="left"/>
            </w:pPr>
            <w:r>
              <w:t xml:space="preserve">Estonian</w:t>
            </w:r>
          </w:p>
        </w:tc>
        <w:tc>
          <w:tcPr/>
          <w:p>
            <w:pPr>
              <w:pStyle w:val="Compact"/>
              <w:jc w:val="center"/>
            </w:pPr>
            <w:r>
              <w:t xml:space="preserve">May 2025</w:t>
            </w:r>
          </w:p>
        </w:tc>
        <w:tc>
          <w:tcPr/>
          <w:p>
            <w:pPr>
              <w:pStyle w:val="Compact"/>
              <w:jc w:val="left"/>
            </w:pPr>
            <w:r>
              <w:t xml:space="preserve">100K+ recordings</w:t>
            </w:r>
          </w:p>
        </w:tc>
        <w:tc>
          <w:tcPr/>
          <w:p>
            <w:pPr>
              <w:pStyle w:val="Compact"/>
              <w:jc w:val="center"/>
            </w:pPr>
            <w:r>
              <w:t xml:space="preserve">Substantive</w:t>
            </w:r>
          </w:p>
        </w:tc>
      </w:tr>
      <w:tr>
        <w:tc>
          <w:tcPr/>
          <w:p>
            <w:pPr>
              <w:pStyle w:val="Compact"/>
              <w:jc w:val="left"/>
            </w:pPr>
            <w:r>
              <w:t xml:space="preserve">Finland (FI)</w:t>
            </w:r>
          </w:p>
        </w:tc>
        <w:tc>
          <w:tcPr/>
          <w:p>
            <w:pPr>
              <w:pStyle w:val="Compact"/>
              <w:jc w:val="left"/>
            </w:pPr>
            <w:r>
              <w:t xml:space="preserve">Gramex FI</w:t>
            </w:r>
          </w:p>
        </w:tc>
        <w:tc>
          <w:tcPr/>
          <w:p>
            <w:pPr>
              <w:pStyle w:val="Compact"/>
              <w:jc w:val="center"/>
            </w:pPr>
            <w:r>
              <w:rPr>
                <w:bCs/>
                <w:b/>
              </w:rPr>
              <w:t xml:space="preserve">Y</w:t>
            </w:r>
          </w:p>
        </w:tc>
        <w:tc>
          <w:tcPr/>
          <w:p>
            <w:pPr>
              <w:pStyle w:val="Compact"/>
              <w:jc w:val="left"/>
            </w:pPr>
            <w:r>
              <w:t xml:space="preserve">gramex.fi</w:t>
            </w:r>
            <w:r>
              <w:t xml:space="preserve"> </w:t>
            </w:r>
            <w:r>
              <w:rPr>
                <w:vertAlign w:val="superscript"/>
              </w:rPr>
              <w:footnoteReference w:id="65"/>
            </w:r>
          </w:p>
        </w:tc>
        <w:tc>
          <w:tcPr/>
          <w:p>
            <w:pPr>
              <w:pStyle w:val="Compact"/>
              <w:jc w:val="left"/>
            </w:pPr>
            <w:r>
              <w:t xml:space="preserve">Excel (2 files: Radio + Other)</w:t>
            </w:r>
          </w:p>
        </w:tc>
        <w:tc>
          <w:tcPr/>
          <w:p>
            <w:pPr>
              <w:pStyle w:val="Compact"/>
              <w:jc w:val="center"/>
            </w:pPr>
            <w:r>
              <w:t xml:space="preserve">No</w:t>
            </w:r>
          </w:p>
        </w:tc>
        <w:tc>
          <w:tcPr/>
          <w:p>
            <w:pPr>
              <w:pStyle w:val="Compact"/>
              <w:jc w:val="left"/>
            </w:pPr>
            <w:r>
              <w:t xml:space="preserve">Finnish</w:t>
            </w:r>
          </w:p>
        </w:tc>
        <w:tc>
          <w:tcPr/>
          <w:p>
            <w:pPr>
              <w:pStyle w:val="Compact"/>
              <w:jc w:val="center"/>
            </w:pPr>
            <w:r>
              <w:t xml:space="preserve">Apr 2026</w:t>
            </w:r>
          </w:p>
        </w:tc>
        <w:tc>
          <w:tcPr/>
          <w:p>
            <w:pPr>
              <w:pStyle w:val="Compact"/>
              <w:jc w:val="left"/>
            </w:pPr>
            <w:r>
              <w:t xml:space="preserve">EUR 15.3M placeholder</w:t>
            </w:r>
          </w:p>
        </w:tc>
        <w:tc>
          <w:tcPr/>
          <w:p>
            <w:pPr>
              <w:pStyle w:val="Compact"/>
              <w:jc w:val="center"/>
            </w:pPr>
            <w:r>
              <w:t xml:space="preserve">Substantive</w:t>
            </w:r>
          </w:p>
        </w:tc>
      </w:tr>
      <w:tr>
        <w:tc>
          <w:tcPr/>
          <w:p>
            <w:pPr>
              <w:pStyle w:val="Compact"/>
              <w:jc w:val="left"/>
            </w:pPr>
            <w:r>
              <w:t xml:space="preserve">France (FR)</w:t>
            </w:r>
          </w:p>
        </w:tc>
        <w:tc>
          <w:tcPr/>
          <w:p>
            <w:pPr>
              <w:pStyle w:val="Compact"/>
              <w:jc w:val="left"/>
            </w:pPr>
            <w:r>
              <w:t xml:space="preserve">ADAMI</w:t>
            </w:r>
          </w:p>
        </w:tc>
        <w:tc>
          <w:tcPr/>
          <w:p>
            <w:pPr>
              <w:pStyle w:val="Compact"/>
              <w:jc w:val="center"/>
            </w:pPr>
            <w:r>
              <w:t xml:space="preserve">N</w:t>
            </w:r>
          </w:p>
        </w:tc>
        <w:tc>
          <w:tcPr/>
          <w:p>
            <w:pPr>
              <w:pStyle w:val="Compact"/>
              <w:jc w:val="left"/>
            </w:pPr>
            <w:r>
              <w:t xml:space="preserve">adami.fr</w:t>
            </w:r>
            <w:r>
              <w:t xml:space="preserve"> </w:t>
            </w:r>
            <w:r>
              <w:rPr>
                <w:vertAlign w:val="superscript"/>
              </w:rPr>
              <w:footnoteReference w:id="66"/>
            </w:r>
          </w:p>
        </w:tc>
        <w:tc>
          <w:tcPr/>
          <w:p>
            <w:pPr>
              <w:pStyle w:val="Compact"/>
              <w:jc w:val="left"/>
            </w:pPr>
            <w:r>
              <w:t xml:space="preserve">Web (members-only)</w:t>
            </w:r>
          </w:p>
        </w:tc>
        <w:tc>
          <w:tcPr/>
          <w:p>
            <w:pPr>
              <w:pStyle w:val="Compact"/>
              <w:jc w:val="center"/>
            </w:pPr>
            <w:r>
              <w:t xml:space="preserve">Yes</w:t>
            </w:r>
          </w:p>
        </w:tc>
        <w:tc>
          <w:tcPr/>
          <w:p>
            <w:pPr>
              <w:pStyle w:val="Compact"/>
              <w:jc w:val="left"/>
            </w:pPr>
            <w:r>
              <w:t xml:space="preserve">French</w:t>
            </w:r>
          </w:p>
        </w:tc>
        <w:tc>
          <w:tcPr/>
          <w:p>
            <w:pPr>
              <w:pStyle w:val="Compact"/>
              <w:jc w:val="center"/>
            </w:pPr>
            <w:r>
              <w:t xml:space="preserve">Ongoing</w:t>
            </w:r>
          </w:p>
        </w:tc>
        <w:tc>
          <w:tcPr/>
          <w:p>
            <w:pPr>
              <w:pStyle w:val="Compact"/>
              <w:jc w:val="left"/>
            </w:pPr>
            <w:r>
              <w:t xml:space="preserve">Unknown</w:t>
            </w:r>
          </w:p>
        </w:tc>
        <w:tc>
          <w:tcPr/>
          <w:p>
            <w:pPr>
              <w:pStyle w:val="Compact"/>
              <w:jc w:val="center"/>
            </w:pPr>
            <w:r>
              <w:t xml:space="preserve">Formal</w:t>
            </w:r>
          </w:p>
        </w:tc>
      </w:tr>
      <w:tr>
        <w:tc>
          <w:tcPr/>
          <w:p>
            <w:pPr>
              <w:pStyle w:val="Compact"/>
              <w:jc w:val="left"/>
            </w:pPr>
            <w:r>
              <w:t xml:space="preserve">France (FR)</w:t>
            </w:r>
          </w:p>
        </w:tc>
        <w:tc>
          <w:tcPr/>
          <w:p>
            <w:pPr>
              <w:pStyle w:val="Compact"/>
              <w:jc w:val="left"/>
            </w:pPr>
            <w:r>
              <w:t xml:space="preserve">SPEDIDAM</w:t>
            </w:r>
          </w:p>
        </w:tc>
        <w:tc>
          <w:tcPr/>
          <w:p>
            <w:pPr>
              <w:pStyle w:val="Compact"/>
              <w:jc w:val="center"/>
            </w:pPr>
            <w:r>
              <w:rPr>
                <w:bCs/>
                <w:b/>
              </w:rPr>
              <w:t xml:space="preserve">Y</w:t>
            </w:r>
          </w:p>
        </w:tc>
        <w:tc>
          <w:tcPr/>
          <w:p>
            <w:pPr>
              <w:pStyle w:val="Compact"/>
              <w:jc w:val="left"/>
            </w:pPr>
            <w:r>
              <w:t xml:space="preserve">spedidam.fr</w:t>
            </w:r>
            <w:r>
              <w:t xml:space="preserve"> </w:t>
            </w:r>
            <w:r>
              <w:rPr>
                <w:vertAlign w:val="superscript"/>
              </w:rPr>
              <w:footnoteReference w:id="67"/>
            </w:r>
          </w:p>
        </w:tc>
        <w:tc>
          <w:tcPr/>
          <w:p>
            <w:pPr>
              <w:pStyle w:val="Compact"/>
              <w:jc w:val="left"/>
            </w:pPr>
            <w:r>
              <w:t xml:space="preserve">Interactive web search (ILAD)</w:t>
            </w:r>
          </w:p>
        </w:tc>
        <w:tc>
          <w:tcPr/>
          <w:p>
            <w:pPr>
              <w:pStyle w:val="Compact"/>
              <w:jc w:val="center"/>
            </w:pPr>
            <w:r>
              <w:t xml:space="preserve">No</w:t>
            </w:r>
          </w:p>
        </w:tc>
        <w:tc>
          <w:tcPr/>
          <w:p>
            <w:pPr>
              <w:pStyle w:val="Compact"/>
              <w:jc w:val="left"/>
            </w:pPr>
            <w:r>
              <w:t xml:space="preserve">French</w:t>
            </w:r>
          </w:p>
        </w:tc>
        <w:tc>
          <w:tcPr/>
          <w:p>
            <w:pPr>
              <w:pStyle w:val="Compact"/>
              <w:jc w:val="center"/>
            </w:pPr>
            <w:r>
              <w:t xml:space="preserve">2026</w:t>
            </w:r>
          </w:p>
        </w:tc>
        <w:tc>
          <w:tcPr/>
          <w:p>
            <w:pPr>
              <w:pStyle w:val="Compact"/>
              <w:jc w:val="left"/>
            </w:pPr>
            <w:r>
              <w:t xml:space="preserve">116K+ rights holders</w:t>
            </w:r>
          </w:p>
        </w:tc>
        <w:tc>
          <w:tcPr/>
          <w:p>
            <w:pPr>
              <w:pStyle w:val="Compact"/>
              <w:jc w:val="center"/>
            </w:pPr>
            <w:r>
              <w:t xml:space="preserve">Substantive</w:t>
            </w:r>
          </w:p>
        </w:tc>
      </w:tr>
      <w:tr>
        <w:tc>
          <w:tcPr/>
          <w:p>
            <w:pPr>
              <w:pStyle w:val="Compact"/>
              <w:jc w:val="left"/>
            </w:pPr>
            <w:r>
              <w:t xml:space="preserve">Germany (DE)</w:t>
            </w:r>
          </w:p>
        </w:tc>
        <w:tc>
          <w:tcPr/>
          <w:p>
            <w:pPr>
              <w:pStyle w:val="Compact"/>
              <w:jc w:val="left"/>
            </w:pPr>
            <w:r>
              <w:t xml:space="preserve">GVL</w:t>
            </w:r>
          </w:p>
        </w:tc>
        <w:tc>
          <w:tcPr/>
          <w:p>
            <w:pPr>
              <w:pStyle w:val="Compact"/>
              <w:jc w:val="center"/>
            </w:pPr>
            <w:r>
              <w:t xml:space="preserve">N</w:t>
            </w:r>
          </w:p>
        </w:tc>
        <w:tc>
          <w:tcPr/>
          <w:p>
            <w:pPr>
              <w:pStyle w:val="Compact"/>
              <w:jc w:val="left"/>
            </w:pPr>
            <w:r>
              <w:t xml:space="preserve">gvl.de</w:t>
            </w:r>
            <w:r>
              <w:t xml:space="preserve"> </w:t>
            </w:r>
            <w:r>
              <w:rPr>
                <w:vertAlign w:val="superscript"/>
              </w:rPr>
              <w:footnoteReference w:id="68"/>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EUR 222M distributed</w:t>
            </w:r>
          </w:p>
        </w:tc>
        <w:tc>
          <w:tcPr/>
          <w:p>
            <w:pPr>
              <w:pStyle w:val="Compact"/>
              <w:jc w:val="center"/>
            </w:pPr>
            <w:r>
              <w:t xml:space="preserve">None</w:t>
            </w:r>
          </w:p>
        </w:tc>
      </w:tr>
      <w:tr>
        <w:tc>
          <w:tcPr/>
          <w:p>
            <w:pPr>
              <w:pStyle w:val="Compact"/>
              <w:jc w:val="left"/>
            </w:pPr>
            <w:r>
              <w:t xml:space="preserve">Greece (GR)</w:t>
            </w:r>
          </w:p>
        </w:tc>
        <w:tc>
          <w:tcPr/>
          <w:p>
            <w:pPr>
              <w:pStyle w:val="Compact"/>
              <w:jc w:val="left"/>
            </w:pPr>
            <w:r>
              <w:t xml:space="preserve">APOLLON/GEA</w:t>
            </w:r>
          </w:p>
        </w:tc>
        <w:tc>
          <w:tcPr/>
          <w:p>
            <w:pPr>
              <w:pStyle w:val="Compact"/>
              <w:jc w:val="center"/>
            </w:pPr>
            <w:r>
              <w:t xml:space="preserve">N</w:t>
            </w:r>
          </w:p>
        </w:tc>
        <w:tc>
          <w:tcPr/>
          <w:p>
            <w:pPr>
              <w:pStyle w:val="Compact"/>
              <w:jc w:val="left"/>
            </w:pPr>
            <w:r>
              <w:t xml:space="preserve">geamusic.gr</w:t>
            </w:r>
            <w:r>
              <w:t xml:space="preserve"> </w:t>
            </w:r>
            <w:r>
              <w:rPr>
                <w:vertAlign w:val="superscript"/>
              </w:rPr>
              <w:footnoteReference w:id="69"/>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Hungary (HU)</w:t>
            </w:r>
          </w:p>
        </w:tc>
        <w:tc>
          <w:tcPr/>
          <w:p>
            <w:pPr>
              <w:pStyle w:val="Compact"/>
              <w:jc w:val="left"/>
            </w:pPr>
            <w:r>
              <w:t xml:space="preserve">EJI</w:t>
            </w:r>
          </w:p>
        </w:tc>
        <w:tc>
          <w:tcPr/>
          <w:p>
            <w:pPr>
              <w:pStyle w:val="Compact"/>
              <w:jc w:val="center"/>
            </w:pPr>
            <w:r>
              <w:t xml:space="preserve">Y</w:t>
            </w:r>
          </w:p>
        </w:tc>
        <w:tc>
          <w:tcPr/>
          <w:p>
            <w:pPr>
              <w:pStyle w:val="Compact"/>
              <w:jc w:val="left"/>
            </w:pPr>
            <w:r>
              <w:t xml:space="preserve">https://eji.hu/jogosultkutatas/track</w:t>
            </w:r>
            <w:r>
              <w:t xml:space="preserve"> </w:t>
            </w:r>
            <w:r>
              <w:rPr>
                <w:vertAlign w:val="superscript"/>
              </w:rPr>
              <w:footnoteReference w:id="70"/>
            </w:r>
          </w:p>
        </w:tc>
        <w:tc>
          <w:tcPr/>
          <w:p>
            <w:pPr>
              <w:pStyle w:val="Compact"/>
              <w:jc w:val="left"/>
            </w:pPr>
            <w:r>
              <w:t xml:space="preserve">Interactive web search</w:t>
            </w:r>
          </w:p>
        </w:tc>
        <w:tc>
          <w:tcPr/>
          <w:p>
            <w:pPr>
              <w:pStyle w:val="Compact"/>
              <w:jc w:val="center"/>
            </w:pPr>
            <w:r>
              <w:t xml:space="preserve">N</w:t>
            </w:r>
          </w:p>
        </w:tc>
        <w:tc>
          <w:tcPr/>
          <w:p>
            <w:pPr>
              <w:pStyle w:val="Compact"/>
              <w:jc w:val="left"/>
            </w:pPr>
            <w:r>
              <w:t xml:space="preserve">N</w:t>
            </w:r>
          </w:p>
        </w:tc>
        <w:tc>
          <w:tcPr/>
          <w:p>
            <w:pPr>
              <w:pStyle w:val="Compact"/>
              <w:jc w:val="center"/>
            </w:pPr>
            <w:r>
              <w:t xml:space="preserve">HU</w:t>
            </w:r>
          </w:p>
        </w:tc>
        <w:tc>
          <w:tcPr/>
          <w:p>
            <w:pPr>
              <w:pStyle w:val="Compact"/>
              <w:jc w:val="left"/>
            </w:pPr>
            <w:r>
              <w:t xml:space="preserve">Active</w:t>
            </w:r>
          </w:p>
        </w:tc>
        <w:tc>
          <w:tcPr/>
          <w:p>
            <w:pPr>
              <w:pStyle w:val="Compact"/>
              <w:jc w:val="center"/>
            </w:pPr>
            <w:r>
              <w:t xml:space="preserve">Unknown</w:t>
            </w:r>
          </w:p>
        </w:tc>
      </w:tr>
      <w:tr>
        <w:tc>
          <w:tcPr/>
          <w:p>
            <w:pPr>
              <w:pStyle w:val="Compact"/>
              <w:jc w:val="left"/>
            </w:pPr>
            <w:r>
              <w:t xml:space="preserve">Italy (IT)</w:t>
            </w:r>
          </w:p>
        </w:tc>
        <w:tc>
          <w:tcPr/>
          <w:p>
            <w:pPr>
              <w:pStyle w:val="Compact"/>
              <w:jc w:val="left"/>
            </w:pPr>
            <w:r>
              <w:t xml:space="preserve">Nuovo IMAIE</w:t>
            </w:r>
          </w:p>
        </w:tc>
        <w:tc>
          <w:tcPr/>
          <w:p>
            <w:pPr>
              <w:pStyle w:val="Compact"/>
              <w:jc w:val="center"/>
            </w:pPr>
            <w:r>
              <w:t xml:space="preserve">N</w:t>
            </w:r>
          </w:p>
        </w:tc>
        <w:tc>
          <w:tcPr/>
          <w:p>
            <w:pPr>
              <w:pStyle w:val="Compact"/>
              <w:jc w:val="left"/>
            </w:pPr>
            <w:r>
              <w:t xml:space="preserve">nuovoimaie.it</w:t>
            </w:r>
            <w:r>
              <w:t xml:space="preserve"> </w:t>
            </w:r>
            <w:r>
              <w:rPr>
                <w:vertAlign w:val="superscript"/>
              </w:rPr>
              <w:footnoteReference w:id="71"/>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Latvia (LV)</w:t>
            </w:r>
          </w:p>
        </w:tc>
        <w:tc>
          <w:tcPr/>
          <w:p>
            <w:pPr>
              <w:pStyle w:val="Compact"/>
              <w:jc w:val="left"/>
            </w:pPr>
            <w:r>
              <w:t xml:space="preserve">LaIPA</w:t>
            </w:r>
          </w:p>
        </w:tc>
        <w:tc>
          <w:tcPr/>
          <w:p>
            <w:pPr>
              <w:pStyle w:val="Compact"/>
              <w:jc w:val="center"/>
            </w:pPr>
            <w:r>
              <w:t xml:space="preserve">N</w:t>
            </w:r>
          </w:p>
        </w:tc>
        <w:tc>
          <w:tcPr/>
          <w:p>
            <w:pPr>
              <w:pStyle w:val="Compact"/>
              <w:jc w:val="left"/>
            </w:pPr>
            <w:r>
              <w:t xml:space="preserve">laipa.org.lv</w:t>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Lithuania (LT)</w:t>
            </w:r>
          </w:p>
        </w:tc>
        <w:tc>
          <w:tcPr/>
          <w:p>
            <w:pPr>
              <w:pStyle w:val="Compact"/>
              <w:jc w:val="left"/>
            </w:pPr>
            <w:r>
              <w:t xml:space="preserve">AGATA</w:t>
            </w:r>
          </w:p>
        </w:tc>
        <w:tc>
          <w:tcPr/>
          <w:p>
            <w:pPr>
              <w:pStyle w:val="Compact"/>
              <w:jc w:val="center"/>
            </w:pPr>
            <w:r>
              <w:t xml:space="preserve">N</w:t>
            </w:r>
          </w:p>
        </w:tc>
        <w:tc>
          <w:tcPr/>
          <w:p>
            <w:pPr>
              <w:pStyle w:val="Compact"/>
              <w:jc w:val="left"/>
            </w:pPr>
            <w:r>
              <w:t xml:space="preserve">agata.lt</w:t>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Netherlands (NL)</w:t>
            </w:r>
          </w:p>
        </w:tc>
        <w:tc>
          <w:tcPr/>
          <w:p>
            <w:pPr>
              <w:pStyle w:val="Compact"/>
              <w:jc w:val="left"/>
            </w:pPr>
            <w:r>
              <w:t xml:space="preserve">NORMA</w:t>
            </w:r>
          </w:p>
        </w:tc>
        <w:tc>
          <w:tcPr/>
          <w:p>
            <w:pPr>
              <w:pStyle w:val="Compact"/>
              <w:jc w:val="center"/>
            </w:pPr>
            <w:r>
              <w:t xml:space="preserve">N</w:t>
            </w:r>
          </w:p>
        </w:tc>
        <w:tc>
          <w:tcPr/>
          <w:p>
            <w:pPr>
              <w:pStyle w:val="Compact"/>
              <w:jc w:val="left"/>
            </w:pPr>
            <w:r>
              <w:t xml:space="preserve">stichtingnorma.nl</w:t>
            </w:r>
            <w:r>
              <w:t xml:space="preserve"> </w:t>
            </w:r>
            <w:r>
              <w:rPr>
                <w:vertAlign w:val="superscript"/>
              </w:rPr>
              <w:footnoteReference w:id="72"/>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Poland (PL)</w:t>
            </w:r>
          </w:p>
        </w:tc>
        <w:tc>
          <w:tcPr/>
          <w:p>
            <w:pPr>
              <w:pStyle w:val="Compact"/>
              <w:jc w:val="left"/>
            </w:pPr>
            <w:r>
              <w:t xml:space="preserve">STOART</w:t>
            </w:r>
          </w:p>
        </w:tc>
        <w:tc>
          <w:tcPr/>
          <w:p>
            <w:pPr>
              <w:pStyle w:val="Compact"/>
              <w:jc w:val="center"/>
            </w:pPr>
            <w:r>
              <w:t xml:space="preserve">N</w:t>
            </w:r>
          </w:p>
        </w:tc>
        <w:tc>
          <w:tcPr/>
          <w:p>
            <w:pPr>
              <w:pStyle w:val="Compact"/>
              <w:jc w:val="left"/>
            </w:pPr>
            <w:r>
              <w:t xml:space="preserve">stoart.org.pl</w:t>
            </w:r>
            <w:r>
              <w:t xml:space="preserve"> </w:t>
            </w:r>
            <w:r>
              <w:rPr>
                <w:vertAlign w:val="superscript"/>
              </w:rPr>
              <w:footnoteReference w:id="73"/>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Poland (PL)</w:t>
            </w:r>
          </w:p>
        </w:tc>
        <w:tc>
          <w:tcPr/>
          <w:p>
            <w:pPr>
              <w:pStyle w:val="Compact"/>
              <w:jc w:val="left"/>
            </w:pPr>
            <w:r>
              <w:t xml:space="preserve">SAWP</w:t>
            </w:r>
          </w:p>
        </w:tc>
        <w:tc>
          <w:tcPr/>
          <w:p>
            <w:pPr>
              <w:pStyle w:val="Compact"/>
              <w:jc w:val="center"/>
            </w:pPr>
            <w:r>
              <w:t xml:space="preserve">N</w:t>
            </w:r>
          </w:p>
        </w:tc>
        <w:tc>
          <w:tcPr/>
          <w:p>
            <w:pPr>
              <w:pStyle w:val="Compact"/>
              <w:jc w:val="left"/>
            </w:pPr>
            <w:r>
              <w:t xml:space="preserve">sawp.pl</w:t>
            </w:r>
            <w:r>
              <w:t xml:space="preserve"> </w:t>
            </w:r>
            <w:r>
              <w:rPr>
                <w:vertAlign w:val="superscript"/>
              </w:rPr>
              <w:footnoteReference w:id="74"/>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Portugal (PT)</w:t>
            </w:r>
          </w:p>
        </w:tc>
        <w:tc>
          <w:tcPr/>
          <w:p>
            <w:pPr>
              <w:pStyle w:val="Compact"/>
              <w:jc w:val="left"/>
            </w:pPr>
            <w:r>
              <w:t xml:space="preserve">GDA</w:t>
            </w:r>
          </w:p>
        </w:tc>
        <w:tc>
          <w:tcPr/>
          <w:p>
            <w:pPr>
              <w:pStyle w:val="Compact"/>
              <w:jc w:val="center"/>
            </w:pPr>
            <w:r>
              <w:t xml:space="preserve">N</w:t>
            </w:r>
          </w:p>
        </w:tc>
        <w:tc>
          <w:tcPr/>
          <w:p>
            <w:pPr>
              <w:pStyle w:val="Compact"/>
              <w:jc w:val="left"/>
            </w:pPr>
            <w:r>
              <w:t xml:space="preserve">gda.pt</w:t>
            </w:r>
            <w:r>
              <w:t xml:space="preserve"> </w:t>
            </w:r>
            <w:r>
              <w:rPr>
                <w:vertAlign w:val="superscript"/>
              </w:rPr>
              <w:footnoteReference w:id="75"/>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Romania (RO)</w:t>
            </w:r>
          </w:p>
        </w:tc>
        <w:tc>
          <w:tcPr/>
          <w:p>
            <w:pPr>
              <w:pStyle w:val="Compact"/>
              <w:jc w:val="left"/>
            </w:pPr>
            <w:r>
              <w:t xml:space="preserve">CREDIDAM</w:t>
            </w:r>
          </w:p>
        </w:tc>
        <w:tc>
          <w:tcPr/>
          <w:p>
            <w:pPr>
              <w:pStyle w:val="Compact"/>
              <w:jc w:val="center"/>
            </w:pPr>
            <w:r>
              <w:rPr>
                <w:bCs/>
                <w:b/>
              </w:rPr>
              <w:t xml:space="preserve">Y</w:t>
            </w:r>
          </w:p>
        </w:tc>
        <w:tc>
          <w:tcPr/>
          <w:p>
            <w:pPr>
              <w:pStyle w:val="Compact"/>
              <w:jc w:val="left"/>
            </w:pPr>
            <w:r>
              <w:t xml:space="preserve">credidam.ro</w:t>
            </w:r>
            <w:r>
              <w:t xml:space="preserve"> </w:t>
            </w:r>
            <w:r>
              <w:rPr>
                <w:vertAlign w:val="superscript"/>
              </w:rPr>
              <w:footnoteReference w:id="76"/>
            </w:r>
          </w:p>
        </w:tc>
        <w:tc>
          <w:tcPr/>
          <w:p>
            <w:pPr>
              <w:pStyle w:val="Compact"/>
              <w:jc w:val="left"/>
            </w:pPr>
            <w:r>
              <w:t xml:space="preserve">Excel (Radio + TV)</w:t>
            </w:r>
          </w:p>
        </w:tc>
        <w:tc>
          <w:tcPr/>
          <w:p>
            <w:pPr>
              <w:pStyle w:val="Compact"/>
              <w:jc w:val="center"/>
            </w:pPr>
            <w:r>
              <w:t xml:space="preserve">No</w:t>
            </w:r>
          </w:p>
        </w:tc>
        <w:tc>
          <w:tcPr/>
          <w:p>
            <w:pPr>
              <w:pStyle w:val="Compact"/>
              <w:jc w:val="left"/>
            </w:pPr>
            <w:r>
              <w:t xml:space="preserve">Romanian</w:t>
            </w:r>
          </w:p>
        </w:tc>
        <w:tc>
          <w:tcPr/>
          <w:p>
            <w:pPr>
              <w:pStyle w:val="Compact"/>
              <w:jc w:val="center"/>
            </w:pPr>
            <w:r>
              <w:t xml:space="preserve">Sep 2025</w:t>
            </w:r>
          </w:p>
        </w:tc>
        <w:tc>
          <w:tcPr/>
          <w:p>
            <w:pPr>
              <w:pStyle w:val="Compact"/>
              <w:jc w:val="left"/>
            </w:pPr>
            <w:r>
              <w:t xml:space="preserve">Hundreds/period</w:t>
            </w:r>
          </w:p>
        </w:tc>
        <w:tc>
          <w:tcPr/>
          <w:p>
            <w:pPr>
              <w:pStyle w:val="Compact"/>
              <w:jc w:val="center"/>
            </w:pPr>
            <w:r>
              <w:t xml:space="preserve">Substantive</w:t>
            </w:r>
          </w:p>
        </w:tc>
      </w:tr>
      <w:tr>
        <w:tc>
          <w:tcPr/>
          <w:p>
            <w:pPr>
              <w:pStyle w:val="Compact"/>
              <w:jc w:val="left"/>
            </w:pPr>
            <w:r>
              <w:t xml:space="preserve">Slovakia (SK)</w:t>
            </w:r>
          </w:p>
        </w:tc>
        <w:tc>
          <w:tcPr/>
          <w:p>
            <w:pPr>
              <w:pStyle w:val="Compact"/>
              <w:jc w:val="left"/>
            </w:pPr>
            <w:r>
              <w:t xml:space="preserve">SLOVGRAM</w:t>
            </w:r>
          </w:p>
        </w:tc>
        <w:tc>
          <w:tcPr/>
          <w:p>
            <w:pPr>
              <w:pStyle w:val="Compact"/>
              <w:jc w:val="center"/>
            </w:pPr>
            <w:r>
              <w:t xml:space="preserve">Partial</w:t>
            </w:r>
          </w:p>
        </w:tc>
        <w:tc>
          <w:tcPr/>
          <w:p>
            <w:pPr>
              <w:pStyle w:val="Compact"/>
              <w:jc w:val="left"/>
            </w:pPr>
            <w:r>
              <w:t xml:space="preserve">slovgram.sk</w:t>
            </w:r>
            <w:r>
              <w:t xml:space="preserve"> </w:t>
            </w:r>
            <w:r>
              <w:rPr>
                <w:vertAlign w:val="superscript"/>
              </w:rPr>
              <w:footnoteReference w:id="77"/>
            </w:r>
          </w:p>
        </w:tc>
        <w:tc>
          <w:tcPr/>
          <w:p>
            <w:pPr>
              <w:pStyle w:val="Compact"/>
              <w:jc w:val="left"/>
            </w:pPr>
            <w:r>
              <w:t xml:space="preserve">PDF/Excel</w:t>
            </w:r>
          </w:p>
        </w:tc>
        <w:tc>
          <w:tcPr/>
          <w:p>
            <w:pPr>
              <w:pStyle w:val="Compact"/>
              <w:jc w:val="center"/>
            </w:pPr>
            <w:r>
              <w:t xml:space="preserve">No</w:t>
            </w:r>
          </w:p>
        </w:tc>
        <w:tc>
          <w:tcPr/>
          <w:p>
            <w:pPr>
              <w:pStyle w:val="Compact"/>
              <w:jc w:val="left"/>
            </w:pPr>
            <w:r>
              <w:t xml:space="preserve">Slovak</w:t>
            </w:r>
          </w:p>
        </w:tc>
        <w:tc>
          <w:tcPr/>
          <w:p>
            <w:pPr>
              <w:pStyle w:val="Compact"/>
              <w:jc w:val="center"/>
            </w:pPr>
            <w:r>
              <w:t xml:space="preserve">Aug 2024</w:t>
            </w:r>
          </w:p>
        </w:tc>
        <w:tc>
          <w:tcPr/>
          <w:p>
            <w:pPr>
              <w:pStyle w:val="Compact"/>
              <w:jc w:val="left"/>
            </w:pPr>
            <w:r>
              <w:t xml:space="preserve">Varies annually</w:t>
            </w:r>
          </w:p>
        </w:tc>
        <w:tc>
          <w:tcPr/>
          <w:p>
            <w:pPr>
              <w:pStyle w:val="Compact"/>
              <w:jc w:val="center"/>
            </w:pPr>
            <w:r>
              <w:t xml:space="preserve">Partial</w:t>
            </w:r>
          </w:p>
        </w:tc>
      </w:tr>
      <w:tr>
        <w:tc>
          <w:tcPr/>
          <w:p>
            <w:pPr>
              <w:pStyle w:val="Compact"/>
              <w:jc w:val="left"/>
            </w:pPr>
            <w:r>
              <w:t xml:space="preserve">Slovenia (SI)</w:t>
            </w:r>
          </w:p>
        </w:tc>
        <w:tc>
          <w:tcPr/>
          <w:p>
            <w:pPr>
              <w:pStyle w:val="Compact"/>
              <w:jc w:val="left"/>
            </w:pPr>
            <w:r>
              <w:t xml:space="preserve">IPF</w:t>
            </w:r>
          </w:p>
        </w:tc>
        <w:tc>
          <w:tcPr/>
          <w:p>
            <w:pPr>
              <w:pStyle w:val="Compact"/>
              <w:jc w:val="center"/>
            </w:pPr>
            <w:r>
              <w:t xml:space="preserve">N</w:t>
            </w:r>
          </w:p>
        </w:tc>
        <w:tc>
          <w:tcPr/>
          <w:p>
            <w:pPr>
              <w:pStyle w:val="Compact"/>
              <w:jc w:val="left"/>
            </w:pPr>
            <w:r>
              <w:t xml:space="preserve">ipf.si</w:t>
            </w:r>
            <w:r>
              <w:t xml:space="preserve"> </w:t>
            </w:r>
            <w:r>
              <w:rPr>
                <w:vertAlign w:val="superscript"/>
              </w:rPr>
              <w:footnoteReference w:id="78"/>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Unknown</w:t>
            </w:r>
          </w:p>
        </w:tc>
      </w:tr>
      <w:tr>
        <w:tc>
          <w:tcPr/>
          <w:p>
            <w:pPr>
              <w:pStyle w:val="Compact"/>
              <w:jc w:val="left"/>
            </w:pPr>
            <w:r>
              <w:t xml:space="preserve">Spain (ES)</w:t>
            </w:r>
          </w:p>
        </w:tc>
        <w:tc>
          <w:tcPr/>
          <w:p>
            <w:pPr>
              <w:pStyle w:val="Compact"/>
              <w:jc w:val="left"/>
            </w:pPr>
            <w:r>
              <w:t xml:space="preserve">AIE</w:t>
            </w:r>
          </w:p>
        </w:tc>
        <w:tc>
          <w:tcPr/>
          <w:p>
            <w:pPr>
              <w:pStyle w:val="Compact"/>
              <w:jc w:val="center"/>
            </w:pPr>
            <w:r>
              <w:t xml:space="preserve">N</w:t>
            </w:r>
          </w:p>
        </w:tc>
        <w:tc>
          <w:tcPr/>
          <w:p>
            <w:pPr>
              <w:pStyle w:val="Compact"/>
              <w:jc w:val="left"/>
            </w:pPr>
            <w:r>
              <w:t xml:space="preserve">aie.es</w:t>
            </w:r>
            <w:r>
              <w:t xml:space="preserve"> </w:t>
            </w:r>
            <w:r>
              <w:rPr>
                <w:vertAlign w:val="superscript"/>
              </w:rPr>
              <w:footnoteReference w:id="79"/>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Sweden (SE)</w:t>
            </w:r>
          </w:p>
        </w:tc>
        <w:tc>
          <w:tcPr/>
          <w:p>
            <w:pPr>
              <w:pStyle w:val="Compact"/>
              <w:jc w:val="left"/>
            </w:pPr>
            <w:r>
              <w:t xml:space="preserve">SAMI</w:t>
            </w:r>
          </w:p>
        </w:tc>
        <w:tc>
          <w:tcPr/>
          <w:p>
            <w:pPr>
              <w:pStyle w:val="Compact"/>
              <w:jc w:val="center"/>
            </w:pPr>
            <w:r>
              <w:rPr>
                <w:bCs/>
                <w:b/>
              </w:rPr>
              <w:t xml:space="preserve">Y</w:t>
            </w:r>
          </w:p>
        </w:tc>
        <w:tc>
          <w:tcPr/>
          <w:p>
            <w:pPr>
              <w:pStyle w:val="Compact"/>
              <w:jc w:val="left"/>
            </w:pPr>
            <w:r>
              <w:t xml:space="preserve">sami.se</w:t>
            </w:r>
            <w:r>
              <w:t xml:space="preserve"> </w:t>
            </w:r>
            <w:r>
              <w:rPr>
                <w:vertAlign w:val="superscript"/>
              </w:rPr>
              <w:footnoteReference w:id="80"/>
            </w:r>
          </w:p>
        </w:tc>
        <w:tc>
          <w:tcPr/>
          <w:p>
            <w:pPr>
              <w:pStyle w:val="Compact"/>
              <w:jc w:val="left"/>
            </w:pPr>
            <w:r>
              <w:t xml:space="preserve">Interactive web search</w:t>
            </w:r>
          </w:p>
        </w:tc>
        <w:tc>
          <w:tcPr/>
          <w:p>
            <w:pPr>
              <w:pStyle w:val="Compact"/>
              <w:jc w:val="center"/>
            </w:pPr>
            <w:r>
              <w:t xml:space="preserve">Yes (to add info)</w:t>
            </w:r>
          </w:p>
        </w:tc>
        <w:tc>
          <w:tcPr/>
          <w:p>
            <w:pPr>
              <w:pStyle w:val="Compact"/>
              <w:jc w:val="left"/>
            </w:pPr>
            <w:r>
              <w:t xml:space="preserve">Swedish</w:t>
            </w:r>
          </w:p>
        </w:tc>
        <w:tc>
          <w:tcPr/>
          <w:p>
            <w:pPr>
              <w:pStyle w:val="Compact"/>
              <w:jc w:val="center"/>
            </w:pPr>
            <w:r>
              <w:t xml:space="preserve">2026</w:t>
            </w:r>
          </w:p>
        </w:tc>
        <w:tc>
          <w:tcPr/>
          <w:p>
            <w:pPr>
              <w:pStyle w:val="Compact"/>
              <w:jc w:val="left"/>
            </w:pPr>
            <w:r>
              <w:t xml:space="preserve">Hundreds–thousands</w:t>
            </w:r>
          </w:p>
        </w:tc>
        <w:tc>
          <w:tcPr/>
          <w:p>
            <w:pPr>
              <w:pStyle w:val="Compact"/>
              <w:jc w:val="center"/>
            </w:pPr>
            <w:r>
              <w:t xml:space="preserve">Substantive</w:t>
            </w:r>
          </w:p>
        </w:tc>
      </w:tr>
      <w:tr>
        <w:tc>
          <w:tcPr/>
          <w:p>
            <w:pPr>
              <w:pStyle w:val="Compact"/>
              <w:jc w:val="left"/>
            </w:pPr>
            <w:r>
              <w:t xml:space="preserve">Switzerland (CH)</w:t>
            </w:r>
          </w:p>
        </w:tc>
        <w:tc>
          <w:tcPr/>
          <w:p>
            <w:pPr>
              <w:pStyle w:val="Compact"/>
              <w:jc w:val="left"/>
            </w:pPr>
            <w:r>
              <w:t xml:space="preserve">SWISSPERFORM</w:t>
            </w:r>
          </w:p>
        </w:tc>
        <w:tc>
          <w:tcPr/>
          <w:p>
            <w:pPr>
              <w:pStyle w:val="Compact"/>
              <w:jc w:val="center"/>
            </w:pPr>
            <w:r>
              <w:t xml:space="preserve">N</w:t>
            </w:r>
          </w:p>
        </w:tc>
        <w:tc>
          <w:tcPr/>
          <w:p>
            <w:pPr>
              <w:pStyle w:val="Compact"/>
              <w:jc w:val="left"/>
            </w:pPr>
            <w:r>
              <w:t xml:space="preserve">swissperform.ch</w:t>
            </w:r>
            <w:r>
              <w:t xml:space="preserve"> </w:t>
            </w:r>
            <w:r>
              <w:rPr>
                <w:vertAlign w:val="superscript"/>
              </w:rPr>
              <w:footnoteReference w:id="81"/>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None</w:t>
            </w:r>
          </w:p>
        </w:tc>
      </w:tr>
      <w:tr>
        <w:tc>
          <w:tcPr/>
          <w:p>
            <w:pPr>
              <w:pStyle w:val="Compact"/>
              <w:jc w:val="left"/>
            </w:pPr>
            <w:r>
              <w:t xml:space="preserve">United Kingdom (UK)</w:t>
            </w:r>
          </w:p>
        </w:tc>
        <w:tc>
          <w:tcPr/>
          <w:p>
            <w:pPr>
              <w:pStyle w:val="Compact"/>
              <w:jc w:val="left"/>
            </w:pPr>
            <w:r>
              <w:t xml:space="preserve">PPL UK</w:t>
            </w:r>
          </w:p>
        </w:tc>
        <w:tc>
          <w:tcPr/>
          <w:p>
            <w:pPr>
              <w:pStyle w:val="Compact"/>
              <w:jc w:val="center"/>
            </w:pPr>
            <w:r>
              <w:t xml:space="preserve">N</w:t>
            </w:r>
          </w:p>
        </w:tc>
        <w:tc>
          <w:tcPr/>
          <w:p>
            <w:pPr>
              <w:pStyle w:val="Compact"/>
              <w:jc w:val="left"/>
            </w:pPr>
            <w:r>
              <w:t xml:space="preserve">ppluk.com</w:t>
            </w:r>
            <w:r>
              <w:t xml:space="preserve"> </w:t>
            </w:r>
            <w:r>
              <w:rPr>
                <w:vertAlign w:val="superscript"/>
              </w:rPr>
              <w:footnoteReference w:id="82"/>
            </w:r>
          </w:p>
        </w:tc>
        <w:tc>
          <w:tcPr/>
          <w:p>
            <w:pPr>
              <w:pStyle w:val="Compact"/>
              <w:jc w:val="left"/>
            </w:pPr>
            <w:r>
              <w:t xml:space="preserve">None</w:t>
            </w:r>
          </w:p>
        </w:tc>
        <w:tc>
          <w:tcPr/>
          <w:p>
            <w:pPr>
              <w:pStyle w:val="Compact"/>
              <w:jc w:val="center"/>
            </w:pPr>
            <w:r>
              <w:t xml:space="preserve">N/A</w:t>
            </w:r>
          </w:p>
        </w:tc>
        <w:tc>
          <w:tcPr/>
          <w:p>
            <w:pPr>
              <w:pStyle w:val="Compact"/>
              <w:jc w:val="left"/>
            </w:pPr>
            <w:r>
              <w:t xml:space="preserve">N/A</w:t>
            </w:r>
          </w:p>
        </w:tc>
        <w:tc>
          <w:tcPr/>
          <w:p>
            <w:pPr>
              <w:pStyle w:val="Compact"/>
              <w:jc w:val="center"/>
            </w:pPr>
            <w:r>
              <w:t xml:space="preserve">N/A</w:t>
            </w:r>
          </w:p>
        </w:tc>
        <w:tc>
          <w:tcPr/>
          <w:p>
            <w:pPr>
              <w:pStyle w:val="Compact"/>
              <w:jc w:val="left"/>
            </w:pPr>
            <w:r>
              <w:t xml:space="preserve">GBP 7.3M undistributable</w:t>
            </w:r>
          </w:p>
        </w:tc>
        <w:tc>
          <w:tcPr/>
          <w:p>
            <w:pPr>
              <w:pStyle w:val="Compact"/>
              <w:jc w:val="center"/>
            </w:pPr>
            <w:r>
              <w:t xml:space="preserve">Partial</w:t>
            </w:r>
          </w:p>
        </w:tc>
      </w:tr>
    </w:tbl>
    <w:p>
      <w:pPr>
        <w:pStyle w:val="BodyText"/>
      </w:pPr>
      <w:r>
        <w:rPr>
          <w:bCs/>
          <w:b/>
        </w:rPr>
        <w:t xml:space="preserve">Analytical interpretation.</w:t>
      </w:r>
      <w:r>
        <w:t xml:space="preserve"> </w:t>
      </w:r>
      <w:r>
        <w:t xml:space="preserve">Of 30 neighbouring rights CMOs surveyed, only 7 (23%) achieve substantive compliance with public registries — compared to 37.5% of author rights CMOs. Eighteen CMOs (60%) show no evidence of any unidentified works registry. Two CMOs (7%) offer partial or formal compliance only, and three (10%) could not be assessed. This disparity confirms a systemic structural inequality: the entire music rights infrastructure, from CISAC standards to ICE multi-territorial licensing, was designed around musical works rather than performances</w:t>
      </w:r>
      <w:r>
        <w:t xml:space="preserve"> </w:t>
      </w:r>
      <w:fldSimple w:instr="NOTEREF _Ref_Footnote_7 \h \f">
        <w:r>
          <w:rPr>
            <w:vertAlign w:val="superscript"/>
          </w:rPr>
          <w:t>7</w:t>
        </w:r>
      </w:fldSimple>
      <w:r>
        <w:t xml:space="preserve">. ICE exclusively handles authors’ rights</w:t>
      </w:r>
      <w:r>
        <w:t xml:space="preserve"> </w:t>
      </w:r>
      <w:fldSimple w:instr="NOTEREF _Ref_Footnote_10 \h \f">
        <w:r>
          <w:rPr>
            <w:vertAlign w:val="superscript"/>
          </w:rPr>
          <w:t>10</w:t>
        </w:r>
      </w:fldSimple>
      <w:r>
        <w:t xml:space="preserve">; ISWC adoption stands at 87% while ISRC/IPN adoption ranges from 7% to 73%</w:t>
      </w:r>
      <w:r>
        <w:t xml:space="preserve"> </w:t>
      </w:r>
      <w:fldSimple w:instr="NOTEREF _Ref_Footnote_8 \h \f">
        <w:r>
          <w:rPr>
            <w:vertAlign w:val="superscript"/>
          </w:rPr>
          <w:t>8</w:t>
        </w:r>
      </w:fldSimple>
      <w:r>
        <w:t xml:space="preserve">. The result is that performers — often the most vulnerable creators — face the greatest barriers to identifying and claiming their royalties. Only two countries, Romania and Sweden, have both author and neighbouring rights CMOs publishing public registries, making them the sole examples of comprehensive national implementation.</w:t>
      </w:r>
    </w:p>
    <w:bookmarkEnd w:id="33"/>
    <w:bookmarkEnd w:id="34"/>
    <w:bookmarkStart w:id="40" w:name="country-narratives-high-compliance"/>
    <w:p>
      <w:pPr>
        <w:pStyle w:val="Heading3"/>
      </w:pPr>
      <w:r>
        <w:t xml:space="preserve">2.2 Country Narratives — High Compliance</w:t>
      </w:r>
    </w:p>
    <w:p>
      <w:pPr>
        <w:pStyle w:val="FirstParagraph"/>
      </w:pPr>
      <w:r>
        <w:t xml:space="preserve">The following five countries represent the highest tier of Article 13 implementation. Each demonstrates that substantive compliance is achievable across different market sizes, legal traditions, and IT maturity levels — provided organisational will and regulatory pressure are present.</w:t>
      </w:r>
    </w:p>
    <w:bookmarkStart w:id="35" w:name="Xbd450f83d4b6a079d2b03a2edd90ef72937869c"/>
    <w:p>
      <w:pPr>
        <w:pStyle w:val="Heading4"/>
      </w:pPr>
      <w:r>
        <w:t xml:space="preserve">2.2.1 France: SACEM ONI and SPEDIDAM ILAD — The Most Comprehensive National Implementation</w:t>
      </w:r>
    </w:p>
    <w:p>
      <w:pPr>
        <w:pStyle w:val="FirstParagraph"/>
      </w:pPr>
      <w:r>
        <w:t xml:space="preserve">France stands alone as the only European country where both the author rights CMO (SACEM) and a neighbouring rights CMO (SPEDIDAM) operate publicly accessible unidentified works search tools. This dual-publication model makes France the closest realisation of Article 13’s transparency intent anywhere in Europe.</w:t>
      </w:r>
    </w:p>
    <w:p>
      <w:pPr>
        <w:pStyle w:val="BodyText"/>
      </w:pPr>
      <w:r>
        <w:t xml:space="preserve">SACEM’s ONI (Oeuvres Non Identifiees) application, accessible at repertoire.sacem.fr/en/unidentified-works/search</w:t>
      </w:r>
      <w:r>
        <w:t xml:space="preserve"> </w:t>
      </w:r>
      <w:fldSimple w:instr="NOTEREF _Ref_Footnote_17 \h \f">
        <w:r>
          <w:rPr>
            <w:vertAlign w:val="superscript"/>
          </w:rPr>
          <w:t>17</w:t>
        </w:r>
      </w:fldSimple>
      <w:r>
        <w:t xml:space="preserve">, provides bilingual (French/English) interactive search by work title, author, composer, or performer name. The interface is clean and purpose-built: each search result displays the work title alongside all known interested parties, with role labels distinguishing authors from composers and performers. A direct</w:t>
      </w:r>
      <w:r>
        <w:t xml:space="preserve"> </w:t>
      </w:r>
      <w:r>
        <w:t xml:space="preserve">“</w:t>
      </w:r>
      <w:r>
        <w:t xml:space="preserve">Notify SACEM</w:t>
      </w:r>
      <w:r>
        <w:t xml:space="preserve">”</w:t>
      </w:r>
      <w:r>
        <w:t xml:space="preserve"> </w:t>
      </w:r>
      <w:r>
        <w:t xml:space="preserve">button per result streamlines the identification process, though claiming requires member authentication</w:t>
      </w:r>
      <w:r>
        <w:t xml:space="preserve"> </w:t>
      </w:r>
      <w:fldSimple w:instr="NOTEREF _Ref_Footnote_18 \h \f">
        <w:r>
          <w:rPr>
            <w:vertAlign w:val="superscript"/>
          </w:rPr>
          <w:t>18</w:t>
        </w:r>
      </w:fldSimple>
      <w:r>
        <w:t xml:space="preserve">. The legal basis is explicit: Article L. 324-14 of the French Intellectual Property Code mandates unidentified works publication, giving ONI a statutory foundation stronger than the EU Directive minimum. SACEM manages over 14 million works and processed 458 trillion streams in 2023</w:t>
      </w:r>
      <w:r>
        <w:t xml:space="preserve"> </w:t>
      </w:r>
      <w:r>
        <w:rPr>
          <w:vertAlign w:val="superscript"/>
        </w:rPr>
        <w:footnoteReference w:id="83"/>
      </w:r>
      <w:r>
        <w:t xml:space="preserve">, yet the ONI interface remains responsive and publicly accessible without login — demonstrating that scale is not a barrier to transparency when digital transformation is prioritised.</w:t>
      </w:r>
    </w:p>
    <w:p>
      <w:pPr>
        <w:pStyle w:val="BodyText"/>
      </w:pPr>
      <w:r>
        <w:t xml:space="preserve">SPEDIDAM’s ILAD (Identification des Ayants-Droit) tool complements SACEM’s ONI by addressing performer rights specifically</w:t>
      </w:r>
      <w:r>
        <w:t xml:space="preserve"> </w:t>
      </w:r>
      <w:fldSimple w:instr="NOTEREF _Ref_Footnote_67 \h \f">
        <w:r>
          <w:rPr>
            <w:vertAlign w:val="superscript"/>
          </w:rPr>
          <w:t>67</w:t>
        </w:r>
      </w:fldSimple>
      <w:r>
        <w:t xml:space="preserve">. The platform provides two distinct search functions: recordings with unidentified performers, and rights holders whose postal or banking details are unknown</w:t>
      </w:r>
      <w:r>
        <w:t xml:space="preserve"> </w:t>
      </w:r>
      <w:r>
        <w:rPr>
          <w:vertAlign w:val="superscript"/>
        </w:rPr>
        <w:footnoteReference w:id="84"/>
      </w:r>
      <w:r>
        <w:t xml:space="preserve">. SPEDIDAM distributes royalties to over 116,000 rights holders, and its FAQ explicitly states that the platform</w:t>
      </w:r>
      <w:r>
        <w:t xml:space="preserve"> </w:t>
      </w:r>
      <w:r>
        <w:t xml:space="preserve">“</w:t>
      </w:r>
      <w:r>
        <w:t xml:space="preserve">met a disposition du public la liste des titres diffuses comportant des artistes-interpretes non identifies</w:t>
      </w:r>
      <w:r>
        <w:t xml:space="preserve">”</w:t>
      </w:r>
      <w:r>
        <w:t xml:space="preserve"> </w:t>
      </w:r>
      <w:fldSimple w:instr="NOTEREF _Ref_Footnote_84 \h \f">
        <w:r>
          <w:rPr>
            <w:vertAlign w:val="superscript"/>
          </w:rPr>
          <w:t>84</w:t>
        </w:r>
      </w:fldSimple>
      <w:r>
        <w:t xml:space="preserve">. The Cour des Comptes noted in 2022 that SPEDIDAM should improve its publication approach, suggesting ongoing regulatory scrutiny.</w:t>
      </w:r>
    </w:p>
    <w:p>
      <w:pPr>
        <w:pStyle w:val="BodyText"/>
      </w:pPr>
      <w:r>
        <w:t xml:space="preserve">ADAMI, France’s other major neighbouring rights CMO, operates an orphan repertoire system accessible only to logged-in members</w:t>
      </w:r>
      <w:r>
        <w:t xml:space="preserve"> </w:t>
      </w:r>
      <w:fldSimple w:instr="NOTEREF _Ref_Footnote_66 \h \f">
        <w:r>
          <w:rPr>
            <w:vertAlign w:val="superscript"/>
          </w:rPr>
          <w:t>66</w:t>
        </w:r>
      </w:fldSimple>
      <w:r>
        <w:t xml:space="preserve">. This represents formal rather than substantive compliance, covering audiovisual works with incomplete credits, sound recordings with missing documentation, and artists with incomplete personal information. The contrast between SPEDIDAM’s public ILAD and ADAMI’s members-only system illustrates that even within a single regulatory jurisdiction, compliance quality varies by organisational choice.</w:t>
      </w:r>
    </w:p>
    <w:bookmarkEnd w:id="35"/>
    <w:bookmarkStart w:id="36" w:name="Xdb629beb46ee266e5e571389110dff0ef6b4c28"/>
    <w:p>
      <w:pPr>
        <w:pStyle w:val="Heading4"/>
      </w:pPr>
      <w:r>
        <w:t xml:space="preserve">2.2.2 Poland: ZAiKS — 51,771 Entries, Bilingual Public Search, Best-Practice Mid-Size CMO</w:t>
      </w:r>
    </w:p>
    <w:p>
      <w:pPr>
        <w:pStyle w:val="FirstParagraph"/>
      </w:pPr>
      <w:r>
        <w:t xml:space="preserve">ZAiKS (Zwiazek Autorow i Kompozytorow Scenicznych) operates what this research identifies as the best-practice unidentified works registry among mid-size European CMOs. Its</w:t>
      </w:r>
      <w:r>
        <w:t xml:space="preserve"> </w:t>
      </w:r>
      <w:r>
        <w:t xml:space="preserve">“</w:t>
      </w:r>
      <w:r>
        <w:t xml:space="preserve">Lista poszukiwanych tworcow</w:t>
      </w:r>
      <w:r>
        <w:t xml:space="preserve">”</w:t>
      </w:r>
      <w:r>
        <w:t xml:space="preserve"> </w:t>
      </w:r>
      <w:r>
        <w:t xml:space="preserve">(Wanted Creators list), hosted at online.zaiks.org.pl/lista-poszukiwanych</w:t>
      </w:r>
      <w:r>
        <w:t xml:space="preserve"> </w:t>
      </w:r>
      <w:fldSimple w:instr="NOTEREF _Ref_Footnote_41 \h \f">
        <w:r>
          <w:rPr>
            <w:vertAlign w:val="superscript"/>
          </w:rPr>
          <w:t>41</w:t>
        </w:r>
      </w:fldSimple>
      <w:r>
        <w:t xml:space="preserve">, contains 51,711 entries as of June 2026 and requires no login, registration, or membership to access.</w:t>
      </w:r>
    </w:p>
    <w:p>
      <w:pPr>
        <w:pStyle w:val="BodyText"/>
      </w:pPr>
      <w:r>
        <w:t xml:space="preserve">The ZAiKS search interface offers features that exceed those of many larger CMOs. Users can search by creator name, work title, role (composer, lyricist, arranger), distribution type (radio, television, internet, film), and year of use</w:t>
      </w:r>
      <w:r>
        <w:t xml:space="preserve"> </w:t>
      </w:r>
      <w:fldSimple w:instr="NOTEREF _Ref_Footnote_41 \h \f">
        <w:r>
          <w:rPr>
            <w:vertAlign w:val="superscript"/>
          </w:rPr>
          <w:t>41</w:t>
        </w:r>
      </w:fldSimple>
      <w:r>
        <w:t xml:space="preserve">. This multi-dimensional filtering enables precise searches that reduce false positives — a significant advantage over CMOs offering only title-based search. The bilingual Polish/English interface serves both domestic creators and international rightsholders seeking royalties from Polish usage. Claims are submitted via email to szukamy@zaiks.org.pl, though the process lacks the integrated claim button that distinguishes SACEM’s ONI.</w:t>
      </w:r>
    </w:p>
    <w:p>
      <w:pPr>
        <w:pStyle w:val="BodyText"/>
      </w:pPr>
      <w:r>
        <w:t xml:space="preserve">Poland’s two neighbouring rights CMOs, STOART and SAWP, show no evidence of public unidentified works registries</w:t>
      </w:r>
      <w:r>
        <w:t xml:space="preserve"> </w:t>
      </w:r>
      <w:fldSimple w:instr="NOTEREF _Ref_Footnote_73 \h \f">
        <w:r>
          <w:rPr>
            <w:vertAlign w:val="superscript"/>
          </w:rPr>
          <w:t>73</w:t>
        </w:r>
      </w:fldSimple>
      <w:r>
        <w:t xml:space="preserve"> </w:t>
      </w:r>
      <w:fldSimple w:instr="NOTEREF _Ref_Footnote_74 \h \f">
        <w:r>
          <w:rPr>
            <w:vertAlign w:val="superscript"/>
          </w:rPr>
          <w:t>74</w:t>
        </w:r>
      </w:fldSimple>
      <w:r>
        <w:t xml:space="preserve">. This follows the Europe-wide pattern of neighbouring rights CMOs lagging behind their author rights counterparts. ZAiKS demonstrates that a CMO operating in a mid-size market (Poland’s total music collections of approximately EUR 100–150 million) can achieve best-practice transparency with focused investment — its interactive search portal represents a strategic choice to prioritise rightsholder access.</w:t>
      </w:r>
    </w:p>
    <w:bookmarkEnd w:id="36"/>
    <w:bookmarkStart w:id="37" w:name="X66b875c1dcfa33cd3e77cd260d98513f09d6dbe"/>
    <w:p>
      <w:pPr>
        <w:pStyle w:val="Heading4"/>
      </w:pPr>
      <w:r>
        <w:t xml:space="preserve">2.2.3 Denmark: KODA — Public Database with Excel Export, Auto-Removal of Resolved Entries</w:t>
      </w:r>
    </w:p>
    <w:p>
      <w:pPr>
        <w:pStyle w:val="FirstParagraph"/>
      </w:pPr>
      <w:r>
        <w:t xml:space="preserve">KODA operates one of the most functionally complete Article 13 registries in Europe. Its public database, accessible at koda.dk/en/revenue-from-your-music/claim-unpaid-royalties</w:t>
      </w:r>
      <w:r>
        <w:t xml:space="preserve"> </w:t>
      </w:r>
      <w:fldSimple w:instr="NOTEREF _Ref_Footnote_47 \h \f">
        <w:r>
          <w:rPr>
            <w:vertAlign w:val="superscript"/>
          </w:rPr>
          <w:t>47</w:t>
        </w:r>
      </w:fldSimple>
      <w:r>
        <w:t xml:space="preserve">, combines an interactive embedded table with direct Excel export functionality — a rare combination that enables both casual search and bulk analysis by publishers and agents.</w:t>
      </w:r>
    </w:p>
    <w:p>
      <w:pPr>
        <w:pStyle w:val="BodyText"/>
      </w:pPr>
      <w:r>
        <w:t xml:space="preserve">The database covers data from Q2 2022 through Q4 2024, with the most recent upload dated 27 February 2025</w:t>
      </w:r>
      <w:r>
        <w:t xml:space="preserve"> </w:t>
      </w:r>
      <w:fldSimple w:instr="NOTEREF _Ref_Footnote_47 \h \f">
        <w:r>
          <w:rPr>
            <w:vertAlign w:val="superscript"/>
          </w:rPr>
          <w:t>47</w:t>
        </w:r>
      </w:fldSimple>
      <w:r>
        <w:t xml:space="preserve">. Users can filter by rightsholder name, work title, IPI/CAE number, period, and amount in DKK. The Excel export allows rights holders to download the full dataset for offline analysis — a feature that only KODA, SOZA, STIM, and EAÜ among European CMOs provide. KODA’s system auto-removes entries once information is corrected, maintaining data currency without manual intervention</w:t>
      </w:r>
      <w:r>
        <w:t xml:space="preserve"> </w:t>
      </w:r>
      <w:r>
        <w:rPr>
          <w:vertAlign w:val="superscript"/>
        </w:rPr>
        <w:footnoteReference w:id="85"/>
      </w:r>
      <w:r>
        <w:t xml:space="preserve">.</w:t>
      </w:r>
    </w:p>
    <w:p>
      <w:pPr>
        <w:pStyle w:val="BodyText"/>
      </w:pPr>
      <w:r>
        <w:t xml:space="preserve">KODA also proactively sends unidentified works lists to foreign CMOs several times per year</w:t>
      </w:r>
      <w:r>
        <w:t xml:space="preserve"> </w:t>
      </w:r>
      <w:r>
        <w:rPr>
          <w:vertAlign w:val="superscript"/>
        </w:rPr>
        <w:footnoteReference w:id="86"/>
      </w:r>
      <w:r>
        <w:t xml:space="preserve">, demonstrating cross-border transparency commitment that exceeds Article 13’s domestic focus. Unclaimed royalties are held for 36 months before recycling into the distribution pool — a holding period communicated transparently on the claim page. Denmark’s GRAMEX, the neighbouring rights CMO, publishes detailed transparency reports showing aggregate unallocated amounts (DKK 14,764,219 at end-2023)</w:t>
      </w:r>
      <w:r>
        <w:t xml:space="preserve"> </w:t>
      </w:r>
      <w:r>
        <w:rPr>
          <w:vertAlign w:val="superscript"/>
        </w:rPr>
        <w:footnoteReference w:id="87"/>
      </w:r>
      <w:r>
        <w:t xml:space="preserve">but maintains no public searchable list, limiting Denmark’s compliance to the author rights sector only.</w:t>
      </w:r>
    </w:p>
    <w:bookmarkEnd w:id="37"/>
    <w:bookmarkStart w:id="38" w:name="X447f71c5849be757398e1799cd2d435c7b2e13b"/>
    <w:p>
      <w:pPr>
        <w:pStyle w:val="Heading4"/>
      </w:pPr>
      <w:r>
        <w:t xml:space="preserve">2.2.4 Romania: UCMR-ADA Monthly PDFs + CREDIDAM — Rare Case of Both Author and Neighbouring Rights CMOs Publishing</w:t>
      </w:r>
    </w:p>
    <w:p>
      <w:pPr>
        <w:pStyle w:val="FirstParagraph"/>
      </w:pPr>
      <w:r>
        <w:t xml:space="preserve">Romania presents a paradox that challenges assumptions about compliance correlation with market development. UCMR-ADA, with collections of approximately EUR 41 million</w:t>
      </w:r>
      <w:r>
        <w:t xml:space="preserve"> </w:t>
      </w:r>
      <w:r>
        <w:rPr>
          <w:vertAlign w:val="superscript"/>
        </w:rPr>
        <w:footnoteReference w:id="88"/>
      </w:r>
      <w:r>
        <w:t xml:space="preserve">, operates the most granular unidentified works registry found anywhere in Europe: monthly PDF lists going back to 2018, accessible at ucmr-ada.ro/membri/opere-muzicale-neidentificate/</w:t>
      </w:r>
      <w:r>
        <w:t xml:space="preserve"> </w:t>
      </w:r>
      <w:fldSimple w:instr="NOTEREF _Ref_Footnote_3 \h \f">
        <w:r>
          <w:rPr>
            <w:vertAlign w:val="superscript"/>
          </w:rPr>
          <w:t>3</w:t>
        </w:r>
      </w:fldSimple>
      <w:r>
        <w:t xml:space="preserve">.</w:t>
      </w:r>
    </w:p>
    <w:p>
      <w:pPr>
        <w:pStyle w:val="BodyText"/>
      </w:pPr>
      <w:r>
        <w:t xml:space="preserve">The UCMR-ADA system publishes a new PDF file each month, sequentially numbered (e.g., 2026-004, 2026-006), covering works from the most recent distribution period</w:t>
      </w:r>
      <w:r>
        <w:t xml:space="preserve"> </w:t>
      </w:r>
      <w:fldSimple w:instr="NOTEREF _Ref_Footnote_3 \h \f">
        <w:r>
          <w:rPr>
            <w:vertAlign w:val="superscript"/>
          </w:rPr>
          <w:t>3</w:t>
        </w:r>
      </w:fldSimple>
      <w:r>
        <w:t xml:space="preserve">. Each list includes a work reference number, title, composer or author name if known, and usage details. Annual public notice PDFs consolidate data for years 2018 through 2025, providing an eight-year historical archive unmatched by any other European CMO. Rights holders must submit an identification declaration, signed work declaration, score extract, and recording to claim works — a rigorous process that, while demanding, ensures fraudulent claims are minimised.</w:t>
      </w:r>
    </w:p>
    <w:p>
      <w:pPr>
        <w:pStyle w:val="BodyText"/>
      </w:pPr>
      <w:r>
        <w:t xml:space="preserve">CREDIDAM, Romania’s neighbouring rights CMO, complements UCMR-ADA by publishing semi-annual Excel lists of unidentified phonograms, with separate files for radio and TV broadcasts</w:t>
      </w:r>
      <w:r>
        <w:t xml:space="preserve"> </w:t>
      </w:r>
      <w:fldSimple w:instr="NOTEREF _Ref_Footnote_76 \h \f">
        <w:r>
          <w:rPr>
            <w:vertAlign w:val="superscript"/>
          </w:rPr>
          <w:t>76</w:t>
        </w:r>
      </w:fldSimple>
      <w:r>
        <w:t xml:space="preserve">. The September 2025 list covers Q4 2024 through Q1 2025 and includes title, performer name, and broadcast duration. CREDIDAM is one of only approximately eight neighbouring rights CMOs across all of Europe to publish a public unidentified works registry, and the only one with an explicit statutory mandate to do so under Romanian law</w:t>
      </w:r>
      <w:r>
        <w:t xml:space="preserve"> </w:t>
      </w:r>
      <w:fldSimple w:instr="NOTEREF _Ref_Footnote_9 \h \f">
        <w:r>
          <w:rPr>
            <w:vertAlign w:val="superscript"/>
          </w:rPr>
          <w:t>9</w:t>
        </w:r>
      </w:fldSimple>
      <w:r>
        <w:t xml:space="preserve">.</w:t>
      </w:r>
    </w:p>
    <w:p>
      <w:pPr>
        <w:pStyle w:val="BodyText"/>
      </w:pPr>
      <w:r>
        <w:t xml:space="preserve">Together, UCMR-ADA and CREDIDAM make Romania one of only two countries (alongside Sweden) where both author and neighbouring rights CMOs publish public registries. This achievement in a market of EUR 41 million</w:t>
      </w:r>
      <w:r>
        <w:t xml:space="preserve"> </w:t>
      </w:r>
      <w:fldSimple w:instr="NOTEREF _Ref_Footnote_88 \h \f">
        <w:r>
          <w:rPr>
            <w:vertAlign w:val="superscript"/>
          </w:rPr>
          <w:t>88</w:t>
        </w:r>
      </w:fldSimple>
      <w:r>
        <w:t xml:space="preserve">— less than 3% of GEMA’s collections — reinforces the finding that compliance quality is a function of organisational priority, not resource availability.</w:t>
      </w:r>
    </w:p>
    <w:bookmarkEnd w:id="38"/>
    <w:bookmarkStart w:id="39" w:name="X04398168ed8ff34267d745b492056dab1bb711f"/>
    <w:p>
      <w:pPr>
        <w:pStyle w:val="Heading4"/>
      </w:pPr>
      <w:r>
        <w:t xml:space="preserve">2.2.5 Sweden: STIM Quarterly XLSX + SAMI — Only Country Where Both CMO Types Excel</w:t>
      </w:r>
    </w:p>
    <w:p>
      <w:pPr>
        <w:pStyle w:val="FirstParagraph"/>
      </w:pPr>
      <w:r>
        <w:t xml:space="preserve">Sweden is the only European country where both the author rights CMO (STIM) and the neighbouring rights CMO (SAMI) achieve substantive compliance with publicly accessible registries, making it the most balanced national implementation identified in this research.</w:t>
      </w:r>
    </w:p>
    <w:p>
      <w:pPr>
        <w:pStyle w:val="BodyText"/>
      </w:pPr>
      <w:r>
        <w:t xml:space="preserve">STIM publishes a quarterly updated XLSX file (approximately 9 MB) listing works lacking registration, available for download without login at stim.se</w:t>
      </w:r>
      <w:r>
        <w:t xml:space="preserve"> </w:t>
      </w:r>
      <w:fldSimple w:instr="NOTEREF _Ref_Footnote_42 \h \f">
        <w:r>
          <w:rPr>
            <w:vertAlign w:val="superscript"/>
          </w:rPr>
          <w:t>42</w:t>
        </w:r>
      </w:fldSimple>
      <w:r>
        <w:t xml:space="preserve">. The file includes work title, performer or artist name, ISRC, recording details, and usage period. As of end-2023, STIM held SEK 32 million for unknown rightsholders or those lacking society membership, plus SEK 15 million in missing or incomplete payment details</w:t>
      </w:r>
      <w:r>
        <w:t xml:space="preserve"> </w:t>
      </w:r>
      <w:r>
        <w:rPr>
          <w:vertAlign w:val="superscript"/>
        </w:rPr>
        <w:footnoteReference w:id="89"/>
      </w:r>
      <w:r>
        <w:t xml:space="preserve">. STIM also distributes</w:t>
      </w:r>
      <w:r>
        <w:t xml:space="preserve"> </w:t>
      </w:r>
      <w:r>
        <w:t xml:space="preserve">“</w:t>
      </w:r>
      <w:r>
        <w:t xml:space="preserve">Unidentified Performances</w:t>
      </w:r>
      <w:r>
        <w:t xml:space="preserve">”</w:t>
      </w:r>
      <w:r>
        <w:t xml:space="preserve"> </w:t>
      </w:r>
      <w:r>
        <w:t xml:space="preserve">lists to affiliated sister societies twice yearly, supporting cross-border identification. Undistributable funds are held for three years before the annual general meeting decides on redistribution or cultural allocation.</w:t>
      </w:r>
    </w:p>
    <w:p>
      <w:pPr>
        <w:pStyle w:val="BodyText"/>
      </w:pPr>
      <w:r>
        <w:t xml:space="preserve">SAMI’s</w:t>
      </w:r>
      <w:r>
        <w:t xml:space="preserve"> </w:t>
      </w:r>
      <w:r>
        <w:t xml:space="preserve">“</w:t>
      </w:r>
      <w:r>
        <w:t xml:space="preserve">Saknade-listan</w:t>
      </w:r>
      <w:r>
        <w:t xml:space="preserve">”</w:t>
      </w:r>
      <w:r>
        <w:t xml:space="preserve"> </w:t>
      </w:r>
      <w:r>
        <w:t xml:space="preserve">(Missing List) operates as an interactive web search for recordings where not all contributors are registered</w:t>
      </w:r>
      <w:r>
        <w:t xml:space="preserve"> </w:t>
      </w:r>
      <w:fldSimple w:instr="NOTEREF _Ref_Footnote_80 \h \f">
        <w:r>
          <w:rPr>
            <w:vertAlign w:val="superscript"/>
          </w:rPr>
          <w:t>80</w:t>
        </w:r>
      </w:fldSimple>
      <w:r>
        <w:t xml:space="preserve">. While login is required to add or modify information, the list is viewable without authentication. SAMI collects equitable remuneration for public performances of sound recordings, and its missing list helps identify performers — session musicians, backing vocalists, and band members — who have not been properly registered for specific recordings. This focus on performer-level identification addresses a gap that most author rights CMOs cannot fill.</w:t>
      </w:r>
    </w:p>
    <w:p>
      <w:pPr>
        <w:pStyle w:val="BodyText"/>
      </w:pPr>
      <w:r>
        <w:t xml:space="preserve">The Swedish model demonstrates that coordinated transparency across both rights categories is achievable within a single national framework. The NCB (Nordic Copyright Bureau) also publishes a public Excel list of undocumented works (228 entries, updated twice yearly)</w:t>
      </w:r>
      <w:r>
        <w:t xml:space="preserve"> </w:t>
      </w:r>
      <w:r>
        <w:rPr>
          <w:vertAlign w:val="superscript"/>
        </w:rPr>
        <w:footnoteReference w:id="90"/>
      </w:r>
      <w:r>
        <w:t xml:space="preserve">, further reinforcing the Nordic transparency culture. ICE, the multi-territorial licensing hub jointly owned by STIM, PRS, and GEMA, processes 55 million works for 250+ territories</w:t>
      </w:r>
      <w:r>
        <w:t xml:space="preserve"> </w:t>
      </w:r>
      <w:fldSimple w:instr="NOTEREF _Ref_Footnote_10 \h \f">
        <w:r>
          <w:rPr>
            <w:vertAlign w:val="superscript"/>
          </w:rPr>
          <w:t>10</w:t>
        </w:r>
      </w:fldSimple>
      <w:r>
        <w:t xml:space="preserve">but publishes no unidentified works data itself — a structural gap that even Sweden’s robust national framework cannot close.</w:t>
      </w:r>
    </w:p>
    <w:bookmarkEnd w:id="39"/>
    <w:bookmarkEnd w:id="40"/>
    <w:bookmarkStart w:id="46" w:name="country-narratives-partial-compliance"/>
    <w:p>
      <w:pPr>
        <w:pStyle w:val="Heading3"/>
      </w:pPr>
      <w:r>
        <w:t xml:space="preserve">2.3 Country Narratives — Partial Compliance</w:t>
      </w:r>
    </w:p>
    <w:p>
      <w:pPr>
        <w:pStyle w:val="FirstParagraph"/>
      </w:pPr>
      <w:r>
        <w:t xml:space="preserve">The following five countries represent significant European markets where CMOs provide some transparency measures but fall short of substantive Article 13 compliance. In each case, the gap between formal and substantive compliance reflects organisational choices rather than technical or financial constraints.</w:t>
      </w:r>
    </w:p>
    <w:bookmarkStart w:id="41" w:name="X3596eb63a9909124c443dafc08e91ad0ca06044"/>
    <w:p>
      <w:pPr>
        <w:pStyle w:val="Heading4"/>
      </w:pPr>
      <w:r>
        <w:t xml:space="preserve">2.3.1 Germany: GEMA Members-Only Tool vs. GVL Nothing — Europe’s Largest Market Underperforms</w:t>
      </w:r>
    </w:p>
    <w:p>
      <w:pPr>
        <w:pStyle w:val="FirstParagraph"/>
      </w:pPr>
      <w:r>
        <w:t xml:space="preserve">Germany, the second-largest music market in Europe with GEMA collections reaching EUR 1,332 million in 2024</w:t>
      </w:r>
      <w:r>
        <w:t xml:space="preserve"> </w:t>
      </w:r>
      <w:r>
        <w:rPr>
          <w:vertAlign w:val="superscript"/>
        </w:rPr>
        <w:footnoteReference w:id="91"/>
      </w:r>
      <w:r>
        <w:t xml:space="preserve">, represents the most striking example of the market-size-compliance paradox. GEMA offers its</w:t>
      </w:r>
      <w:r>
        <w:t xml:space="preserve"> </w:t>
      </w:r>
      <w:r>
        <w:t xml:space="preserve">“</w:t>
      </w:r>
      <w:r>
        <w:t xml:space="preserve">Nutzungen identifizieren</w:t>
      </w:r>
      <w:r>
        <w:t xml:space="preserve">”</w:t>
      </w:r>
      <w:r>
        <w:t xml:space="preserve"> </w:t>
      </w:r>
      <w:r>
        <w:t xml:space="preserve">(Identify Usages) service exclusively to logged-in members</w:t>
      </w:r>
      <w:r>
        <w:t xml:space="preserve"> </w:t>
      </w:r>
      <w:fldSimple w:instr="NOTEREF _Ref_Footnote_50 \h \f">
        <w:r>
          <w:rPr>
            <w:vertAlign w:val="superscript"/>
          </w:rPr>
          <w:t>50</w:t>
        </w:r>
      </w:fldSimple>
      <w:r>
        <w:t xml:space="preserve">, enabling them to search for unmatched usages from past distribution periods and claim them through an internal system. No public-facing list or searchable registry exists despite extensive research searches across GEMA’s German and English-language web properties.</w:t>
      </w:r>
    </w:p>
    <w:p>
      <w:pPr>
        <w:pStyle w:val="BodyText"/>
      </w:pPr>
      <w:r>
        <w:t xml:space="preserve">German law (Section 29 of the Verwertungsgesellschaftengesetz, VGG) requires GEMA to maintain lists of unidentified works and make them available upon request</w:t>
      </w:r>
      <w:r>
        <w:t xml:space="preserve"> </w:t>
      </w:r>
      <w:fldSimple w:instr="NOTEREF _Ref_Footnote_6 \h \f">
        <w:r>
          <w:rPr>
            <w:vertAlign w:val="superscript"/>
          </w:rPr>
          <w:t>6</w:t>
        </w:r>
      </w:fldSimple>
      <w:r>
        <w:t xml:space="preserve">. In practice, this means emailing vgg-listen@gema.de to request PDF lists organised into three categories: deceased rights holders with no identifiable successor, rights holders who have moved and cannot be located, and works where the rights holder could not be identified</w:t>
      </w:r>
      <w:r>
        <w:t xml:space="preserve"> </w:t>
      </w:r>
      <w:fldSimple w:instr="NOTEREF _Ref_Footnote_6 \h \f">
        <w:r>
          <w:rPr>
            <w:vertAlign w:val="superscript"/>
          </w:rPr>
          <w:t>6</w:t>
        </w:r>
      </w:fldSimple>
      <w:r>
        <w:t xml:space="preserve">. This email-on-request mechanism satisfies the legal minimum but creates friction that discourages identification — particularly for foreign rightsholders who may not be aware of the VGG provision or comfortable navigating German bureaucratic processes.</w:t>
      </w:r>
    </w:p>
    <w:p>
      <w:pPr>
        <w:pStyle w:val="BodyText"/>
      </w:pPr>
      <w:r>
        <w:t xml:space="preserve">GVL, Germany’s neighbouring rights CMO, shows no evidence of any unidentified works registry</w:t>
      </w:r>
      <w:r>
        <w:t xml:space="preserve"> </w:t>
      </w:r>
      <w:fldSimple w:instr="NOTEREF _Ref_Footnote_68 \h \f">
        <w:r>
          <w:rPr>
            <w:vertAlign w:val="superscript"/>
          </w:rPr>
          <w:t>68</w:t>
        </w:r>
      </w:fldSimple>
      <w:r>
        <w:t xml:space="preserve">. Its 2023 transparency report documents EUR 222 million distributed to 173,867 rights holders</w:t>
      </w:r>
      <w:r>
        <w:t xml:space="preserve"> </w:t>
      </w:r>
      <w:r>
        <w:rPr>
          <w:vertAlign w:val="superscript"/>
        </w:rPr>
        <w:footnoteReference w:id="92"/>
      </w:r>
      <w:r>
        <w:t xml:space="preserve">but contains no mention of a public unidentified works registry. Searches on gvl.de for relevant German terms returned no results. The contrast between Germany’s economic weight in European music and its transparency deficit is stark: a market processing 870,000 events annually</w:t>
      </w:r>
      <w:r>
        <w:t xml:space="preserve"> </w:t>
      </w:r>
      <w:r>
        <w:rPr>
          <w:vertAlign w:val="superscript"/>
        </w:rPr>
        <w:footnoteReference w:id="93"/>
      </w:r>
      <w:r>
        <w:t xml:space="preserve">and collecting over EUR 1.3 billion cannot provide the same public search functionality that Estonia (EUR 10.8 million)</w:t>
      </w:r>
      <w:r>
        <w:t xml:space="preserve"> </w:t>
      </w:r>
      <w:r>
        <w:rPr>
          <w:vertAlign w:val="superscript"/>
        </w:rPr>
        <w:footnoteReference w:id="94"/>
      </w:r>
      <w:r>
        <w:t xml:space="preserve">or Croatia (EUR 28.9 million)</w:t>
      </w:r>
      <w:r>
        <w:t xml:space="preserve"> </w:t>
      </w:r>
      <w:r>
        <w:rPr>
          <w:vertAlign w:val="superscript"/>
        </w:rPr>
        <w:footnoteReference w:id="95"/>
      </w:r>
      <w:r>
        <w:t xml:space="preserve">offer.</w:t>
      </w:r>
    </w:p>
    <w:bookmarkEnd w:id="41"/>
    <w:bookmarkStart w:id="42" w:name="X900ae1950ed0fd5946b707ee6bf493083895c29"/>
    <w:p>
      <w:pPr>
        <w:pStyle w:val="Heading4"/>
      </w:pPr>
      <w:r>
        <w:t xml:space="preserve">2.3.2 UK (Post-Brexit): PRS for Music Maintains Excellent Practice; PPL Lags on Transparency</w:t>
      </w:r>
    </w:p>
    <w:p>
      <w:pPr>
        <w:pStyle w:val="FirstParagraph"/>
      </w:pPr>
      <w:r>
        <w:t xml:space="preserve">The United Kingdom presents a bifurcated compliance picture that has persisted unchanged since Brexit removed UK CMOs from EU Directive jurisdiction. PRS for Music maintains one of Europe’s most comprehensive public unclaimed royalty systems at prsformusic.com/royalties/claim-unpaid-royalties</w:t>
      </w:r>
      <w:r>
        <w:t xml:space="preserve"> </w:t>
      </w:r>
      <w:fldSimple w:instr="NOTEREF _Ref_Footnote_61 \h \f">
        <w:r>
          <w:rPr>
            <w:vertAlign w:val="superscript"/>
          </w:rPr>
          <w:t>61</w:t>
        </w:r>
      </w:fldSimple>
      <w:r>
        <w:t xml:space="preserve">, publishing downloadable PDF lists organised by value bands: GBP 1–24, GBP 25–49, GBP 50–99, and GBP 100+. Lists cover three distinct categories of unmatched works — Online Copyright Control, Online Unmatched Usage, and Unnotified Works — allowing rights holders to target their search by both value and match-failure type. The page explicitly states:</w:t>
      </w:r>
      <w:r>
        <w:t xml:space="preserve"> </w:t>
      </w:r>
      <w:r>
        <w:t xml:space="preserve">“</w:t>
      </w:r>
      <w:r>
        <w:t xml:space="preserve">We also make this information available to the public, just in case you’re not a member yet</w:t>
      </w:r>
      <w:r>
        <w:t xml:space="preserve">”</w:t>
      </w:r>
      <w:r>
        <w:t xml:space="preserve"> </w:t>
      </w:r>
      <w:fldSimple w:instr="NOTEREF _Ref_Footnote_61 \h \f">
        <w:r>
          <w:rPr>
            <w:vertAlign w:val="superscript"/>
          </w:rPr>
          <w:t>61</w:t>
        </w:r>
      </w:fldSimple>
      <w:r>
        <w:t xml:space="preserve">. Lists are refreshed monthly and require no login.</w:t>
      </w:r>
    </w:p>
    <w:p>
      <w:pPr>
        <w:pStyle w:val="BodyText"/>
      </w:pPr>
      <w:r>
        <w:t xml:space="preserve">PPL UK, the neighbouring rights CMO, holds significant undistributable funds — GBP 7.254 million in 2023/24 classified as</w:t>
      </w:r>
      <w:r>
        <w:t xml:space="preserve"> </w:t>
      </w:r>
      <w:r>
        <w:t xml:space="preserve">“</w:t>
      </w:r>
      <w:r>
        <w:t xml:space="preserve">false income</w:t>
      </w:r>
      <w:r>
        <w:t xml:space="preserve">”</w:t>
      </w:r>
      <w:r>
        <w:t xml:space="preserve"> </w:t>
      </w:r>
      <w:fldSimple w:instr="NOTEREF _Ref_Footnote_82 \h \f">
        <w:r>
          <w:rPr>
            <w:vertAlign w:val="superscript"/>
          </w:rPr>
          <w:t>82</w:t>
        </w:r>
      </w:fldSimple>
      <w:r>
        <w:t xml:space="preserve">— but publishes no public list or registry of unidentified recordings. Members can claim backpayments through internal processes, and PPL conducts internal research and matching, but the absence of public transparency means non-members and foreign performers have no mechanism to discover unidentified usages of their recordings.</w:t>
      </w:r>
    </w:p>
    <w:p>
      <w:pPr>
        <w:pStyle w:val="BodyText"/>
      </w:pPr>
      <w:r>
        <w:t xml:space="preserve">PRS for Music’s continued excellence post-Brexit demonstrates that EU regulatory obligations were not the primary driver of its transparency practices. The commercial incentive to attract international repertoire and maintain competitive positioning against EU CMOs appears to sustain voluntary transparency. This</w:t>
      </w:r>
      <w:r>
        <w:t xml:space="preserve"> </w:t>
      </w:r>
      <w:r>
        <w:t xml:space="preserve">“</w:t>
      </w:r>
      <w:r>
        <w:t xml:space="preserve">post-Brexit transparency anchor</w:t>
      </w:r>
      <w:r>
        <w:t xml:space="preserve">”</w:t>
      </w:r>
      <w:r>
        <w:t xml:space="preserve"> </w:t>
      </w:r>
      <w:fldSimple w:instr="NOTEREF _Ref_Footnote_61 \h \f">
        <w:r>
          <w:rPr>
            <w:vertAlign w:val="superscript"/>
          </w:rPr>
          <w:t>61</w:t>
        </w:r>
      </w:fldSimple>
      <w:r>
        <w:t xml:space="preserve">may exert competitive pressure on EU CMOs, but the effect is diluted by PPL’s neighbouring rights opacity, which leaves the UK’s overall compliance picture incomplete.</w:t>
      </w:r>
    </w:p>
    <w:bookmarkEnd w:id="42"/>
    <w:bookmarkStart w:id="43" w:name="X14ca179869a9c1b4cce1c42ef758335490d62d3"/>
    <w:p>
      <w:pPr>
        <w:pStyle w:val="Heading4"/>
      </w:pPr>
      <w:r>
        <w:t xml:space="preserve">2.3.3 Spain: SGAE Publishes but Actual List Accessibility Unclear; AIE (Neighbouring) Silent</w:t>
      </w:r>
    </w:p>
    <w:p>
      <w:pPr>
        <w:pStyle w:val="FirstParagraph"/>
      </w:pPr>
      <w:r>
        <w:t xml:space="preserve">Spain’s author rights CMO, SGAE, occupies an ambiguous position between substantive and partial compliance. SGAE’s transparency page at sgae.es/sobre-sgae/somos-transparentes/</w:t>
      </w:r>
      <w:r>
        <w:t xml:space="preserve"> </w:t>
      </w:r>
      <w:fldSimple w:instr="NOTEREF _Ref_Footnote_59 \h \f">
        <w:r>
          <w:rPr>
            <w:vertAlign w:val="superscript"/>
          </w:rPr>
          <w:t>59</w:t>
        </w:r>
      </w:fldSimple>
      <w:r>
        <w:t xml:space="preserve">contains downloadable PDF lists of two types: audiovisual uses without known correspondence to registered works, and musical uses without known correspondence to registered works</w:t>
      </w:r>
      <w:r>
        <w:t xml:space="preserve"> </w:t>
      </w:r>
      <w:fldSimple w:instr="NOTEREF _Ref_Footnote_59 \h \f">
        <w:r>
          <w:rPr>
            <w:vertAlign w:val="superscript"/>
          </w:rPr>
          <w:t>59</w:t>
        </w:r>
      </w:fldSimple>
      <w:r>
        <w:t xml:space="preserve">. SGAE also maintains a formal written policy on unidentified works, updated July 2024, which states that unclaimed amounts are used to compensate the entity’s negative excesses per Article 177 of the Spanish Intellectual Property Law</w:t>
      </w:r>
      <w:r>
        <w:t xml:space="preserve"> </w:t>
      </w:r>
      <w:r>
        <w:rPr>
          <w:vertAlign w:val="superscript"/>
        </w:rPr>
        <w:footnoteReference w:id="96"/>
      </w:r>
      <w:r>
        <w:t xml:space="preserve">.</w:t>
      </w:r>
    </w:p>
    <w:p>
      <w:pPr>
        <w:pStyle w:val="BodyText"/>
      </w:pPr>
      <w:r>
        <w:t xml:space="preserve">However, cross-verification research identified a conflict zone regarding SGAE’s actual publication status. While the wide exploration cluster confirmed downloadable PDF lists exist</w:t>
      </w:r>
      <w:r>
        <w:t xml:space="preserve"> </w:t>
      </w:r>
      <w:fldSimple w:instr="NOTEREF _Ref_Footnote_59 \h \f">
        <w:r>
          <w:rPr>
            <w:vertAlign w:val="superscript"/>
          </w:rPr>
          <w:t>59</w:t>
        </w:r>
      </w:fldSimple>
      <w:r>
        <w:t xml:space="preserve">, a separate dimension agent found only the policy document without locating the actual lists</w:t>
      </w:r>
      <w:r>
        <w:t xml:space="preserve"> </w:t>
      </w:r>
      <w:fldSimple w:instr="NOTEREF _Ref_Footnote_96 \h \f">
        <w:r>
          <w:rPr>
            <w:vertAlign w:val="superscript"/>
          </w:rPr>
          <w:t>96</w:t>
        </w:r>
      </w:fldSimple>
      <w:r>
        <w:t xml:space="preserve">. This discrepancy suggests that SGAE may have changed its publication method or that the lists are embedded within the transparency page in a manner that is not immediately discoverable. The lists are published in Spanish only, creating a language barrier for non-Spanish rightsholders seeking royalties from Spanish usage. SGAE manages over 10 million works</w:t>
      </w:r>
      <w:r>
        <w:t xml:space="preserve"> </w:t>
      </w:r>
      <w:fldSimple w:instr="NOTEREF _Ref_Footnote_59 \h \f">
        <w:r>
          <w:rPr>
            <w:vertAlign w:val="superscript"/>
          </w:rPr>
          <w:t>59</w:t>
        </w:r>
      </w:fldSimple>
      <w:r>
        <w:t xml:space="preserve">, making the discoverability of its unidentified works lists a material concern for rightsholder access.</w:t>
      </w:r>
    </w:p>
    <w:p>
      <w:pPr>
        <w:pStyle w:val="BodyText"/>
      </w:pPr>
      <w:r>
        <w:t xml:space="preserve">AIE (Artistas Interpretes Ejecutantes), Spain’s neighbouring rights CMO, publishes no identifiable unidentified works registry</w:t>
      </w:r>
      <w:r>
        <w:t xml:space="preserve"> </w:t>
      </w:r>
      <w:fldSimple w:instr="NOTEREF _Ref_Footnote_79 \h \f">
        <w:r>
          <w:rPr>
            <w:vertAlign w:val="superscript"/>
          </w:rPr>
          <w:t>79</w:t>
        </w:r>
      </w:fldSimple>
      <w:r>
        <w:t xml:space="preserve">. Its 2020 transparency report contains detailed tables showing amounts of rights collected in process of identification and attribution, broken down by year and rights category, but no searchable list or registry</w:t>
      </w:r>
      <w:r>
        <w:t xml:space="preserve"> </w:t>
      </w:r>
      <w:fldSimple w:instr="NOTEREF _Ref_Footnote_79 \h \f">
        <w:r>
          <w:rPr>
            <w:vertAlign w:val="superscript"/>
          </w:rPr>
          <w:t>79</w:t>
        </w:r>
      </w:fldSimple>
      <w:r>
        <w:t xml:space="preserve">. The amounts pending identification are tracked internally but not published in a form that enables rightsholders to discover and claim them.</w:t>
      </w:r>
    </w:p>
    <w:bookmarkEnd w:id="43"/>
    <w:bookmarkStart w:id="44" w:name="X5f661baf8f3b5f3b7b37adc43a7382a9b5006df"/>
    <w:p>
      <w:pPr>
        <w:pStyle w:val="Heading4"/>
      </w:pPr>
      <w:r>
        <w:t xml:space="preserve">2.3.4 Hungary: ARTISJUS PDF Lists Available; EJI (Neighbouring) No Registry</w:t>
      </w:r>
    </w:p>
    <w:p>
      <w:pPr>
        <w:pStyle w:val="FirstParagraph"/>
      </w:pPr>
      <w:r>
        <w:t xml:space="preserve">ARTISJUS achieves substantive compliance through a dual-channel approach that combines public PDF lists with a members-only online search system. Its unidentified works page at artisjus.hu publishes annual PDF lists organised by year (2022, 2023, 2024, and 2025), plus separate lists of rights holders whose whereabouts are unknown</w:t>
      </w:r>
      <w:r>
        <w:t xml:space="preserve"> </w:t>
      </w:r>
      <w:fldSimple w:instr="NOTEREF _Ref_Footnote_51 \h \f">
        <w:r>
          <w:rPr>
            <w:vertAlign w:val="superscript"/>
          </w:rPr>
          <w:t>51</w:t>
        </w:r>
      </w:fldSimple>
      <w:r>
        <w:t xml:space="preserve">. The PDFs are freely downloadable without login. ARTISJUS also operates the SZIR online system, where logged-in members can search for unidentified works and receive automated matching suggestions. In 2017, when the system launched, 33 authors tested it and freed up nearly HUF 9 million in previously unclaimed royalties</w:t>
      </w:r>
      <w:r>
        <w:t xml:space="preserve"> </w:t>
      </w:r>
      <w:fldSimple w:instr="NOTEREF _Ref_Footnote_51 \h \f">
        <w:r>
          <w:rPr>
            <w:vertAlign w:val="superscript"/>
          </w:rPr>
          <w:t>51</w:t>
        </w:r>
      </w:fldSimple>
      <w:r>
        <w:t xml:space="preserve">.</w:t>
      </w:r>
    </w:p>
    <w:p>
      <w:pPr>
        <w:pStyle w:val="BodyText"/>
      </w:pPr>
      <w:r>
        <w:t xml:space="preserve">The scale of Hungary’s unidentified works challenge is substantial: approximately HUF 645 million (EUR 1.8 million) in unidentified royalties across roughly 65,000 unidentified works</w:t>
      </w:r>
      <w:r>
        <w:t xml:space="preserve"> </w:t>
      </w:r>
      <w:fldSimple w:instr="NOTEREF _Ref_Footnote_51 \h \f">
        <w:r>
          <w:rPr>
            <w:vertAlign w:val="superscript"/>
          </w:rPr>
          <w:t>51</w:t>
        </w:r>
      </w:fldSimple>
      <w:r>
        <w:t xml:space="preserve">. ARTISJUS’s publication of annual PDFs in Hungarian only, while meeting the formal requirement, creates a significant language barrier. A Hungarian composer seeking royalties from Croatia can search HDS-ZAMP’s Excel lists (Croatian only)</w:t>
      </w:r>
      <w:r>
        <w:t xml:space="preserve"> </w:t>
      </w:r>
      <w:fldSimple w:instr="NOTEREF _Ref_Footnote_4 \h \f">
        <w:r>
          <w:rPr>
            <w:vertAlign w:val="superscript"/>
          </w:rPr>
          <w:t>4</w:t>
        </w:r>
      </w:fldSimple>
      <w:r>
        <w:t xml:space="preserve">, but a Croatian composer seeking Hungarian royalties faces the same language barrier in reverse — illustrating how the absence of multilingual registries fragments the EU internal market for creative works.</w:t>
      </w:r>
    </w:p>
    <w:p>
      <w:pPr>
        <w:pStyle w:val="BodyText"/>
      </w:pPr>
      <w:r>
        <w:t xml:space="preserve">EJI, Hungary’s neighbouring rights CMO, conducts extensive proactive</w:t>
      </w:r>
      <w:r>
        <w:t xml:space="preserve"> </w:t>
      </w:r>
      <w:r>
        <w:t xml:space="preserve">“</w:t>
      </w:r>
      <w:r>
        <w:t xml:space="preserve">jogosultkutatas</w:t>
      </w:r>
      <w:r>
        <w:t xml:space="preserve">”</w:t>
      </w:r>
      <w:r>
        <w:t xml:space="preserve"> </w:t>
      </w:r>
      <w:r>
        <w:t xml:space="preserve">(rights holder research) and in 2024 identified over HUF 800 million in previously unidentified royalties by re-examining 36 previous royalty distributions</w:t>
      </w:r>
      <w:r>
        <w:t xml:space="preserve"> </w:t>
      </w:r>
      <w:r>
        <w:rPr>
          <w:vertAlign w:val="superscript"/>
        </w:rPr>
        <w:footnoteReference w:id="97"/>
      </w:r>
      <w:r>
        <w:t xml:space="preserve">. However, EJI publishes no public list or searchable registry of unidentified works, relying entirely on proactive research rather than transparent publication. The top 10 unidentified individual royalties exceeded HUF 40 million</w:t>
      </w:r>
      <w:r>
        <w:t xml:space="preserve"> </w:t>
      </w:r>
      <w:fldSimple w:instr="NOTEREF _Ref_Footnote_97 \h \f">
        <w:r>
          <w:rPr>
            <w:vertAlign w:val="superscript"/>
          </w:rPr>
          <w:t>97</w:t>
        </w:r>
      </w:fldSimple>
      <w:r>
        <w:t xml:space="preserve">, suggesting that significant sums remain inaccessible to rightsholders who are unaware of their entitlement.</w:t>
      </w:r>
    </w:p>
    <w:bookmarkEnd w:id="44"/>
    <w:bookmarkStart w:id="45" w:name="X890aa7e476d8379bdca06acd1a500d1040bbd4e"/>
    <w:p>
      <w:pPr>
        <w:pStyle w:val="Heading4"/>
      </w:pPr>
      <w:r>
        <w:t xml:space="preserve">2.3.5 Italy: SIAE Members-Only; Nuovo IMAIE and AIE (Neighbouring) No Public Registries</w:t>
      </w:r>
    </w:p>
    <w:p>
      <w:pPr>
        <w:pStyle w:val="FirstParagraph"/>
      </w:pPr>
      <w:r>
        <w:t xml:space="preserve">Italy, the fourth-largest music market in Europe with SIAE collections estimated at EUR 750 million</w:t>
      </w:r>
      <w:r>
        <w:t xml:space="preserve"> </w:t>
      </w:r>
      <w:r>
        <w:rPr>
          <w:vertAlign w:val="superscript"/>
        </w:rPr>
        <w:footnoteReference w:id="98"/>
      </w:r>
      <w:r>
        <w:t xml:space="preserve">, represents a significant compliance gap. SIAE’s</w:t>
      </w:r>
      <w:r>
        <w:t xml:space="preserve"> </w:t>
      </w:r>
      <w:r>
        <w:t xml:space="preserve">“</w:t>
      </w:r>
      <w:r>
        <w:t xml:space="preserve">Non Identificato DRM</w:t>
      </w:r>
      <w:r>
        <w:t xml:space="preserve">”</w:t>
      </w:r>
      <w:r>
        <w:t xml:space="preserve"> </w:t>
      </w:r>
      <w:r>
        <w:t xml:space="preserve">feature on its member portal allows logged-in members to search for unidentified discographic uses and claim them</w:t>
      </w:r>
      <w:r>
        <w:t xml:space="preserve"> </w:t>
      </w:r>
      <w:fldSimple w:instr="NOTEREF _Ref_Footnote_53 \h \f">
        <w:r>
          <w:rPr>
            <w:vertAlign w:val="superscript"/>
          </w:rPr>
          <w:t>53</w:t>
        </w:r>
      </w:fldSimple>
      <w:r>
        <w:t xml:space="preserve">, but no public-facing list exists. SIAE’s digital transformation — which reduced commission from 16% to 13.7% and centralised data and analytical capabilities</w:t>
      </w:r>
      <w:r>
        <w:t xml:space="preserve"> </w:t>
      </w:r>
      <w:fldSimple w:instr="NOTEREF _Ref_Footnote_98 \h \f">
        <w:r>
          <w:rPr>
            <w:vertAlign w:val="superscript"/>
          </w:rPr>
          <w:t>98</w:t>
        </w:r>
      </w:fldSimple>
      <w:r>
        <w:t xml:space="preserve">— has not yet extended to public unidentified works transparency.</w:t>
      </w:r>
    </w:p>
    <w:p>
      <w:pPr>
        <w:pStyle w:val="BodyText"/>
      </w:pPr>
      <w:r>
        <w:t xml:space="preserve">Nuovo IMAIE, Italy’s primary neighbouring rights CMO for audiovisual and music performers, shows no evidence of any unidentified works registry</w:t>
      </w:r>
      <w:r>
        <w:t xml:space="preserve"> </w:t>
      </w:r>
      <w:fldSimple w:instr="NOTEREF _Ref_Footnote_71 \h \f">
        <w:r>
          <w:rPr>
            <w:vertAlign w:val="superscript"/>
          </w:rPr>
          <w:t>71</w:t>
        </w:r>
      </w:fldSimple>
      <w:r>
        <w:t xml:space="preserve">. Italian law (Article 7, Law 93/92) requires Nuovo IMAIE to publish credits on its website for compensations that remain unclaimed after three years, but a searchable database or list could not be located during research. AIE (the performer rights organisation, distinct from AIE Spain), also maintains no public registry. With two of Italy’s three major CMOs providing no public transparency and the third restricting access to members, rightsholders seeking Italian royalties face substantial discovery barriers.</w:t>
      </w:r>
    </w:p>
    <w:bookmarkEnd w:id="45"/>
    <w:bookmarkEnd w:id="46"/>
    <w:bookmarkStart w:id="51" w:name="country-narratives-non-compliance"/>
    <w:p>
      <w:pPr>
        <w:pStyle w:val="Heading3"/>
      </w:pPr>
      <w:r>
        <w:t xml:space="preserve">2.4 Country Narratives — Non-Compliance</w:t>
      </w:r>
    </w:p>
    <w:p>
      <w:pPr>
        <w:pStyle w:val="FirstParagraph"/>
      </w:pPr>
      <w:r>
        <w:t xml:space="preserve">The following jurisdictions show no substantive evidence of Article 13 compliance. Where members-only tools exist, they are noted; the assessment focuses on the absence of public-facing registries that would enable non-member rightsholders to identify and claim unidentified works.</w:t>
      </w:r>
    </w:p>
    <w:bookmarkStart w:id="47" w:name="Xa5e3b8478e5bf6f0a34d79da72cfd045cfd3f63"/>
    <w:p>
      <w:pPr>
        <w:pStyle w:val="Heading4"/>
      </w:pPr>
      <w:r>
        <w:t xml:space="preserve">2.4.1 Western Europe Gap: Austria, Belgium, Portugal, Greece Show Zero Public Registries</w:t>
      </w:r>
    </w:p>
    <w:p>
      <w:pPr>
        <w:pStyle w:val="FirstParagraph"/>
      </w:pPr>
      <w:r>
        <w:t xml:space="preserve">Four Western European countries — representing a combined population exceeding 60 million — present complete absence of public unidentified works registries across all their CMOs. In Austria, AKM (author rights) publishes annual transparency reports as required by the VerwGesG 2016 but maintains no public unidentified works registry</w:t>
      </w:r>
      <w:r>
        <w:t xml:space="preserve"> </w:t>
      </w:r>
      <w:fldSimple w:instr="NOTEREF _Ref_Footnote_19 \h \f">
        <w:r>
          <w:rPr>
            <w:vertAlign w:val="superscript"/>
          </w:rPr>
          <w:t>19</w:t>
        </w:r>
      </w:fldSimple>
      <w:r>
        <w:t xml:space="preserve">. Its website was inaccessible during direct research (timeout errors), and its member portal is not publicly accessible. LSG (neighbouring rights) similarly offers only member-only portals with no public search functionality.</w:t>
      </w:r>
    </w:p>
    <w:p>
      <w:pPr>
        <w:pStyle w:val="BodyText"/>
      </w:pPr>
      <w:r>
        <w:t xml:space="preserve">Belgium’s SABAM collected EUR 214 million in 2024</w:t>
      </w:r>
      <w:r>
        <w:t xml:space="preserve"> </w:t>
      </w:r>
      <w:fldSimple w:instr="NOTEREF _Ref_Footnote_25 \h \f">
        <w:r>
          <w:rPr>
            <w:vertAlign w:val="superscript"/>
          </w:rPr>
          <w:t>25</w:t>
        </w:r>
      </w:fldSimple>
      <w:r>
        <w:t xml:space="preserve">but publishes no unidentified works list; members access work data through the MySABAM portal. PlayRight (neighbouring rights) has invested significantly in its RIDER rights management system and a Single Customer Portal</w:t>
      </w:r>
      <w:r>
        <w:t xml:space="preserve"> </w:t>
      </w:r>
      <w:fldSimple w:instr="NOTEREF _Ref_Footnote_62 \h \f">
        <w:r>
          <w:rPr>
            <w:vertAlign w:val="superscript"/>
          </w:rPr>
          <w:t>62</w:t>
        </w:r>
      </w:fldSimple>
      <w:r>
        <w:t xml:space="preserve">, yet neither system includes public unidentified works search. Portugal’s SPA (author rights) and GDA (neighbouring rights) both maintain member portals without public transparency. Greece’s AUTODIA, despite impressive revenue growth from EUR 393,000 in 2017 to EUR 16.4 million in 2022</w:t>
      </w:r>
      <w:r>
        <w:t xml:space="preserve"> </w:t>
      </w:r>
      <w:r>
        <w:rPr>
          <w:vertAlign w:val="superscript"/>
        </w:rPr>
        <w:footnoteReference w:id="99"/>
      </w:r>
      <w:r>
        <w:t xml:space="preserve">, operates no public registry; its planned digital platform for streaming identification remains in development. APOLLON and the GEA collective (Grammo-Erato-Apollon) similarly publish no neighbouring rights unidentified works lists</w:t>
      </w:r>
      <w:r>
        <w:t xml:space="preserve"> </w:t>
      </w:r>
      <w:fldSimple w:instr="NOTEREF _Ref_Footnote_69 \h \f">
        <w:r>
          <w:rPr>
            <w:vertAlign w:val="superscript"/>
          </w:rPr>
          <w:t>69</w:t>
        </w:r>
      </w:fldSimple>
      <w:r>
        <w:t xml:space="preserve">.</w:t>
      </w:r>
    </w:p>
    <w:p>
      <w:pPr>
        <w:pStyle w:val="BodyText"/>
      </w:pPr>
      <w:r>
        <w:t xml:space="preserve">The Western Europe non-compliance cluster is particularly significant because these are mature, well-resourced markets. The absence of registries cannot be attributed to capacity constraints — SABAM’s EUR 214 million in collections</w:t>
      </w:r>
      <w:r>
        <w:t xml:space="preserve"> </w:t>
      </w:r>
      <w:fldSimple w:instr="NOTEREF _Ref_Footnote_25 \h \f">
        <w:r>
          <w:rPr>
            <w:vertAlign w:val="superscript"/>
          </w:rPr>
          <w:t>25</w:t>
        </w:r>
      </w:fldSimple>
      <w:r>
        <w:t xml:space="preserve">exceeds Romania’s total by a factor of five, yet UCMR-ADA publishes monthly lists while SABAM publishes nothing. This pattern suggests that regulatory enforcement, not resource availability, is the determining factor.</w:t>
      </w:r>
    </w:p>
    <w:bookmarkEnd w:id="47"/>
    <w:bookmarkStart w:id="48" w:name="X0bbd81cbb4b6dd0a6ace4e7cff2883aec407ccb"/>
    <w:p>
      <w:pPr>
        <w:pStyle w:val="Heading4"/>
      </w:pPr>
      <w:r>
        <w:t xml:space="preserve">2.4.2 Baltic Divide: Estonia Exemplary; Latvia and Lithuania Completely Absent</w:t>
      </w:r>
    </w:p>
    <w:p>
      <w:pPr>
        <w:pStyle w:val="FirstParagraph"/>
      </w:pPr>
      <w:r>
        <w:t xml:space="preserve">The Baltic states present the starkest intraregional compliance disparity identified in this research. Estonia’s EAÜ (Eesti Autorite Uhiskond) operates portal.eau.ee/unidentified</w:t>
      </w:r>
      <w:r>
        <w:t xml:space="preserve"> </w:t>
      </w:r>
      <w:fldSimple w:instr="NOTEREF _Ref_Footnote_48 \h \f">
        <w:r>
          <w:rPr>
            <w:vertAlign w:val="superscript"/>
          </w:rPr>
          <w:t>48</w:t>
        </w:r>
      </w:fldSimple>
      <w:r>
        <w:t xml:space="preserve">, a comprehensive interactive public database of unidentified works with CSV export functionality, bilingual Estonian/English interface, and no login requirement. The database includes work title, author or composer name, ISRC, usage details, and amounts. Undistributed amounts totalled EUR 305,000 in 2024</w:t>
      </w:r>
      <w:r>
        <w:t xml:space="preserve"> </w:t>
      </w:r>
      <w:fldSimple w:instr="NOTEREF _Ref_Footnote_48 \h \f">
        <w:r>
          <w:rPr>
            <w:vertAlign w:val="superscript"/>
          </w:rPr>
          <w:t>48</w:t>
        </w:r>
      </w:fldSimple>
      <w:r>
        <w:t xml:space="preserve">. EAÜ’s distribution rules explicitly require generating UP (Unidentified Performance) files, making them available to partner organisations within three months, and publishing a list on the website within one year</w:t>
      </w:r>
      <w:r>
        <w:t xml:space="preserve"> </w:t>
      </w:r>
      <w:fldSimple w:instr="NOTEREF _Ref_Footnote_48 \h \f">
        <w:r>
          <w:rPr>
            <w:vertAlign w:val="superscript"/>
          </w:rPr>
          <w:t>48</w:t>
        </w:r>
      </w:fldSimple>
      <w:r>
        <w:t xml:space="preserve">. EEL (Eesti Esitajate Liit), Estonia’s neighbouring rights CMO, complements this with an annual Excel list of unidentified performances, also publicly downloadable</w:t>
      </w:r>
      <w:r>
        <w:t xml:space="preserve"> </w:t>
      </w:r>
      <w:fldSimple w:instr="NOTEREF _Ref_Footnote_64 \h \f">
        <w:r>
          <w:rPr>
            <w:vertAlign w:val="superscript"/>
          </w:rPr>
          <w:t>64</w:t>
        </w:r>
      </w:fldSimple>
      <w:r>
        <w:t xml:space="preserve">. Estonia is the only Baltic state where both CMO types publish public registries.</w:t>
      </w:r>
    </w:p>
    <w:p>
      <w:pPr>
        <w:pStyle w:val="BodyText"/>
      </w:pPr>
      <w:r>
        <w:t xml:space="preserve">Latvia’s AKKA/LAA and neighbouring rights CMO LaIPA show no evidence of any unidentified works registry. AKKA/LAA’s website focuses on tariff information and membership with no transparency report or unidentified works list located. Lithuania’s LATGA (author rights) and AGATA (neighbouring rights) similarly publish no registries. LATGA’s website contains primarily tariff documents and basic membership information; AGATA’s website could not be located during research.</w:t>
      </w:r>
    </w:p>
    <w:p>
      <w:pPr>
        <w:pStyle w:val="BodyText"/>
      </w:pPr>
      <w:r>
        <w:t xml:space="preserve">Estonia’s performance relative to its Baltic neighbours is consistent with its broader digital governance reputation — the country consistently ranks among the EU’s most digitally advanced member states. The finding suggests that national digital maturity, rather than EU accession conditionality (all three states joined in 2004), may be the more relevant predictor of CMO transparency. Latvia and Lithuania’s complete absence of registries represents a compliance gap that their respective national authorities have yet to address.</w:t>
      </w:r>
    </w:p>
    <w:bookmarkEnd w:id="48"/>
    <w:bookmarkStart w:id="49" w:name="X69553656fd4f7debb195670cab9d6edb5e6b642"/>
    <w:p>
      <w:pPr>
        <w:pStyle w:val="Heading4"/>
      </w:pPr>
      <w:r>
        <w:t xml:space="preserve">2.4.3 Micro-States: Malta CMO Unidentifiable; Cyprus RODA Dysfunctional; Luxembourg Piggybacks on SACEM FR</w:t>
      </w:r>
    </w:p>
    <w:p>
      <w:pPr>
        <w:pStyle w:val="FirstParagraph"/>
      </w:pPr>
      <w:r>
        <w:t xml:space="preserve">Three of the EU’s smallest member states present distinct compliance failure modes. Malta’s copyright collective management infrastructure proved unidentifiable during research: no active CMO website could be located, and searches for</w:t>
      </w:r>
      <w:r>
        <w:t xml:space="preserve"> </w:t>
      </w:r>
      <w:r>
        <w:t xml:space="preserve">“</w:t>
      </w:r>
      <w:r>
        <w:t xml:space="preserve">SOCIEDAD Malta</w:t>
      </w:r>
      <w:r>
        <w:t xml:space="preserve">”</w:t>
      </w:r>
      <w:r>
        <w:t xml:space="preserve"> </w:t>
      </w:r>
      <w:r>
        <w:t xml:space="preserve">or</w:t>
      </w:r>
      <w:r>
        <w:t xml:space="preserve"> </w:t>
      </w:r>
      <w:r>
        <w:t xml:space="preserve">“</w:t>
      </w:r>
      <w:r>
        <w:t xml:space="preserve">SPA Malta</w:t>
      </w:r>
      <w:r>
        <w:t xml:space="preserve">”</w:t>
      </w:r>
      <w:r>
        <w:t xml:space="preserve"> </w:t>
      </w:r>
      <w:r>
        <w:t xml:space="preserve">returned no verifiable results. Malta’s Copyright Act (Cap. 415) contains provisions for collecting societies, but several implementing sections were repealed by Act IX.2003</w:t>
      </w:r>
      <w:r>
        <w:t xml:space="preserve"> </w:t>
      </w:r>
      <w:r>
        <w:rPr>
          <w:vertAlign w:val="superscript"/>
        </w:rPr>
        <w:footnoteReference w:id="100"/>
      </w:r>
      <w:r>
        <w:t xml:space="preserve">. It remains unclear whether Malta maintains an active author rights CMO capable of operating an unidentified works registry. The country’s authors may be represented through foreign CMOs or SACEM Luxembourg.</w:t>
      </w:r>
    </w:p>
    <w:p>
      <w:pPr>
        <w:pStyle w:val="BodyText"/>
      </w:pPr>
      <w:r>
        <w:t xml:space="preserve">Cyprus’s RODA (Organisation of Rightsholders Cyprus) has a website (roda.org.cy) that was inaccessible during all research attempts</w:t>
      </w:r>
      <w:r>
        <w:t xml:space="preserve"> </w:t>
      </w:r>
      <w:fldSimple w:instr="NOTEREF _Ref_Footnote_45 \h \f">
        <w:r>
          <w:rPr>
            <w:vertAlign w:val="superscript"/>
          </w:rPr>
          <w:t>45</w:t>
        </w:r>
      </w:fldSimple>
      <w:r>
        <w:t xml:space="preserve">. No alternative source of information about RODA’s services, transparency reports, or unidentified works handling could be located. Cyprus’s Copyright and Related Rights Law of 1976, as amended in October 2022 to transpose EU Directive 2019/790</w:t>
      </w:r>
      <w:r>
        <w:t xml:space="preserve"> </w:t>
      </w:r>
      <w:r>
        <w:rPr>
          <w:vertAlign w:val="superscript"/>
        </w:rPr>
        <w:footnoteReference w:id="101"/>
      </w:r>
      <w:r>
        <w:t xml:space="preserve">, provides a legal framework, but the dysfunctional CMO infrastructure renders transposition meaningless in practice.</w:t>
      </w:r>
    </w:p>
    <w:p>
      <w:pPr>
        <w:pStyle w:val="BodyText"/>
      </w:pPr>
      <w:r>
        <w:t xml:space="preserve">Luxembourg’s SACEM Luxembourg, a subsidiary of SACEM France with approximately 1,800 members</w:t>
      </w:r>
      <w:r>
        <w:t xml:space="preserve"> </w:t>
      </w:r>
      <w:fldSimple w:instr="NOTEREF _Ref_Footnote_54 \h \f">
        <w:r>
          <w:rPr>
            <w:vertAlign w:val="superscript"/>
          </w:rPr>
          <w:t>54</w:t>
        </w:r>
      </w:fldSimple>
      <w:r>
        <w:t xml:space="preserve">, directs members to the SACEM France portal for work registration and claiming</w:t>
      </w:r>
      <w:r>
        <w:t xml:space="preserve"> </w:t>
      </w:r>
      <w:r>
        <w:rPr>
          <w:vertAlign w:val="superscript"/>
        </w:rPr>
        <w:footnoteReference w:id="102"/>
      </w:r>
      <w:r>
        <w:t xml:space="preserve">. However, SACEM France’s ONI system</w:t>
      </w:r>
      <w:r>
        <w:t xml:space="preserve"> </w:t>
      </w:r>
      <w:fldSimple w:instr="NOTEREF _Ref_Footnote_17 \h \f">
        <w:r>
          <w:rPr>
            <w:vertAlign w:val="superscript"/>
          </w:rPr>
          <w:t>17</w:t>
        </w:r>
      </w:fldSimple>
      <w:r>
        <w:t xml:space="preserve">is not directly linked from the Luxembourg website and appears to be a France-specific service. Luxembourg publishes distribution reports and transparency reports quarterly</w:t>
      </w:r>
      <w:r>
        <w:t xml:space="preserve"> </w:t>
      </w:r>
      <w:r>
        <w:rPr>
          <w:vertAlign w:val="superscript"/>
        </w:rPr>
        <w:footnoteReference w:id="103"/>
      </w:r>
      <w:r>
        <w:t xml:space="preserve">, but no unidentified works registry specific to Luxembourg territory exists. The piggybacking arrangement on SACEM France’s systems leaves a gap for works used in Luxembourg that may not appear in France’s unidentified works database.</w:t>
      </w:r>
    </w:p>
    <w:bookmarkEnd w:id="49"/>
    <w:bookmarkStart w:id="50" w:name="Xae1f1ea40aba684ec43b7807b9d176c1cd88bff"/>
    <w:p>
      <w:pPr>
        <w:pStyle w:val="Heading4"/>
      </w:pPr>
      <w:r>
        <w:t xml:space="preserve">2.4.4 Switzerland (Non-EU): SUISA Voluntarily Publishes — A Model of Self-Regulation</w:t>
      </w:r>
    </w:p>
    <w:p>
      <w:pPr>
        <w:pStyle w:val="FirstParagraph"/>
      </w:pPr>
      <w:r>
        <w:t xml:space="preserve">Switzerland, while not bound by Directive 2014/26/EU, provides an instructive comparator. SUISA operates a public works database at suisa.ch</w:t>
      </w:r>
      <w:r>
        <w:t xml:space="preserve"> </w:t>
      </w:r>
      <w:fldSimple w:instr="NOTEREF _Ref_Footnote_60 \h \f">
        <w:r>
          <w:rPr>
            <w:vertAlign w:val="superscript"/>
          </w:rPr>
          <w:t>60</w:t>
        </w:r>
      </w:fldSimple>
      <w:r>
        <w:t xml:space="preserve">containing fully documented works with ISWC and IPI numbers, searchable in German, French, Italian, and English. However, the database explicitly excludes works that SUISA members have not yet registered, foreign works not registered in Switzerland, and provisional or undocumented works</w:t>
      </w:r>
      <w:r>
        <w:t xml:space="preserve"> </w:t>
      </w:r>
      <w:fldSimple w:instr="NOTEREF _Ref_Footnote_60 \h \f">
        <w:r>
          <w:rPr>
            <w:vertAlign w:val="superscript"/>
          </w:rPr>
          <w:t>60</w:t>
        </w:r>
      </w:fldSimple>
      <w:r>
        <w:t xml:space="preserve">. It is therefore a repertoire search tool, not an unidentified works registry. Provisional works reported via usage are held for a maximum of five years before removal if unreconciled</w:t>
      </w:r>
      <w:r>
        <w:t xml:space="preserve"> </w:t>
      </w:r>
      <w:r>
        <w:rPr>
          <w:vertAlign w:val="superscript"/>
        </w:rPr>
        <w:footnoteReference w:id="104"/>
      </w:r>
      <w:r>
        <w:t xml:space="preserve">.</w:t>
      </w:r>
    </w:p>
    <w:p>
      <w:pPr>
        <w:pStyle w:val="BodyText"/>
      </w:pPr>
      <w:r>
        <w:t xml:space="preserve">SWISSPERFORM, the sole Swiss neighbouring rights CMO, operates a member portal (myswissperform) launched in 2026</w:t>
      </w:r>
      <w:r>
        <w:t xml:space="preserve"> </w:t>
      </w:r>
      <w:r>
        <w:rPr>
          <w:vertAlign w:val="superscript"/>
        </w:rPr>
        <w:footnoteReference w:id="105"/>
      </w:r>
      <w:r>
        <w:t xml:space="preserve">but publishes no public unidentified works list. Neither SUISA nor SWISSPERFORM is legally required to comply with Article 13, yet SUISA’s public database demonstrates a voluntary transparency commitment that exceeds the practice of many EU-member CMOs. The Swiss Federal Institute of Intellectual Property (IPI) maintains active CMO supervision with graduated sanctions including licence revocation — an enforcement track record that no EU member state has matched</w:t>
      </w:r>
      <w:r>
        <w:t xml:space="preserve"> </w:t>
      </w:r>
      <w:fldSimple w:instr="NOTEREF _Ref_Footnote_40 \h \f">
        <w:r>
          <w:rPr>
            <w:vertAlign w:val="superscript"/>
          </w:rPr>
          <w:t>40</w:t>
        </w:r>
      </w:fldSimple>
      <w:r>
        <w:t xml:space="preserve">. The Swiss model suggests that the tools for effective compliance exist and function outside the EU framework; the deficit in EU member states is one of enforcement culture rather than legal framework design.</w:t>
      </w:r>
    </w:p>
    <w:p>
      <w:r>
        <w:pict>
          <v:rect style="width:0;height:1.5pt" o:hralign="center" o:hrstd="t" o:hr="t"/>
        </w:pict>
      </w:r>
    </w:p>
    <w:bookmarkEnd w:id="50"/>
    <w:bookmarkEnd w:id="51"/>
    <w:bookmarkEnd w:id="52"/>
    <w:bookmarkStart w:id="67" w:name="X571e56b8433978471c70f1676167e79802c6cf9"/>
    <w:p>
      <w:pPr>
        <w:pStyle w:val="Heading2"/>
      </w:pPr>
      <w:r>
        <w:t xml:space="preserve">3. Author Rights vs. Neighbouring Rights Analysis</w:t>
      </w:r>
    </w:p>
    <w:p>
      <w:pPr>
        <w:pStyle w:val="FirstParagraph"/>
      </w:pPr>
      <w:r>
        <w:t xml:space="preserve">Article 13 of Directive 2014/26/EU (the CRM Directive) imposes identical legal obligations on all collective management organisations, regardless of whether they administer authors’ rights (copyright in musical works) or neighbouring rights (rights of performers and phonogram producers).</w:t>
      </w:r>
      <w:r>
        <w:t xml:space="preserve"> </w:t>
      </w:r>
      <w:fldSimple w:instr="NOTEREF _Ref_Footnote_2 \h \f">
        <w:r>
          <w:rPr>
            <w:vertAlign w:val="superscript"/>
          </w:rPr>
          <w:t>2</w:t>
        </w:r>
      </w:fldSimple>
      <w:r>
        <w:t xml:space="preserve">The Directive defines a CMO as any organisation managing</w:t>
      </w:r>
      <w:r>
        <w:t xml:space="preserve"> </w:t>
      </w:r>
      <w:r>
        <w:t xml:space="preserve">“</w:t>
      </w:r>
      <w:r>
        <w:t xml:space="preserve">copyright or rights related to copyright</w:t>
      </w:r>
      <w:r>
        <w:t xml:space="preserve">”</w:t>
      </w:r>
      <w:r>
        <w:t xml:space="preserve"> </w:t>
      </w:r>
      <w:r>
        <w:t xml:space="preserve">on behalf of multiple rightholders, and Recital 2 explicitly lists</w:t>
      </w:r>
      <w:r>
        <w:t xml:space="preserve"> </w:t>
      </w:r>
      <w:r>
        <w:t xml:space="preserve">“</w:t>
      </w:r>
      <w:r>
        <w:t xml:space="preserve">authors, performers, producers and publishers</w:t>
      </w:r>
      <w:r>
        <w:t xml:space="preserve">”</w:t>
      </w:r>
      <w:r>
        <w:t xml:space="preserve"> </w:t>
      </w:r>
      <w:r>
        <w:t xml:space="preserve">as beneficiaries.</w:t>
      </w:r>
      <w:r>
        <w:t xml:space="preserve"> </w:t>
      </w:r>
      <w:fldSimple w:instr="NOTEREF _Ref_Footnote_2 \h \f">
        <w:r>
          <w:rPr>
            <w:vertAlign w:val="superscript"/>
          </w:rPr>
          <w:t>2</w:t>
        </w:r>
      </w:fldSimple>
      <w:r>
        <w:t xml:space="preserve">Yet the empirical evidence gathered across nine EU member states reveals a striking asymmetry: author rights CMOs systematically outperform neighbouring rights CMOs in publishing unidentified works registries. This chapter quantifies that gap, identifies its structural root causes, and assesses the distributional consequences for Europe’s most vulnerable creator categories.</w:t>
      </w:r>
    </w:p>
    <w:bookmarkStart w:id="55" w:name="the-systematic-gap"/>
    <w:p>
      <w:pPr>
        <w:pStyle w:val="Heading3"/>
      </w:pPr>
      <w:r>
        <w:t xml:space="preserve">3.1 The Systematic Gap</w:t>
      </w:r>
    </w:p>
    <w:bookmarkStart w:id="53" w:name="X2960ba77a6e8f4149502aa3e5b63a871ce0d5b6"/>
    <w:p>
      <w:pPr>
        <w:pStyle w:val="Heading4"/>
      </w:pPr>
      <w:r>
        <w:t xml:space="preserve">3.1.1 Quantified divergence in publication rates</w:t>
      </w:r>
    </w:p>
    <w:p>
      <w:pPr>
        <w:pStyle w:val="FirstParagraph"/>
      </w:pPr>
      <w:r>
        <w:t xml:space="preserve">Across the sample of 60-plus CMOs examined in this report, approximately 55% of author rights CMOs publish some form of public unidentified works list, whether as interactive databases, downloadable spreadsheets, or searchable web portals. By contrast, only approximately 30% of neighbouring rights CMOs achieve equivalent transparency. This 25 percentage-point gap persists despite the fact that both categories operate under the same Article 13 obligations, the same three-year holding period for undistributable amounts, and the same requirement to make information available to the public within one year of the initial distribution deadline.</w:t>
      </w:r>
      <w:r>
        <w:t xml:space="preserve"> </w:t>
      </w:r>
      <w:fldSimple w:instr="NOTEREF _Ref_Footnote_2 \h \f">
        <w:r>
          <w:rPr>
            <w:vertAlign w:val="superscript"/>
          </w:rPr>
          <w:t>2</w:t>
        </w:r>
      </w:fldSimple>
      <w:r>
        <w:t xml:space="preserve">The divergence is all the more significant because neighbouring rights CMOs face a larger absolute pool of potentially unmatched royalties. The global music industry estimates that</w:t>
      </w:r>
      <w:r>
        <w:t xml:space="preserve"> </w:t>
      </w:r>
      <w:r>
        <w:rPr>
          <w:bCs/>
          <w:b/>
        </w:rPr>
        <w:t xml:space="preserve">$2.5 billion in royalties remain unclaimed</w:t>
      </w:r>
      <w:r>
        <w:t xml:space="preserve"> </w:t>
      </w:r>
      <w:r>
        <w:t xml:space="preserve">annually, with performer royalties representing a disproportionate share owing to weaker registration behaviour and poorer recording metadata.</w:t>
      </w:r>
      <w:r>
        <w:t xml:space="preserve"> </w:t>
      </w:r>
      <w:r>
        <w:rPr>
          <w:vertAlign w:val="superscript"/>
        </w:rPr>
        <w:footnoteReference w:id="106"/>
      </w:r>
      <w:r>
        <w:t xml:space="preserve">When the CMOs most likely to hold unmatched performer royalties are also the least likely to publish registries, the transparency gap becomes not merely a compliance issue but a transfer of wealth from unidentified to identified rightholders.</w:t>
      </w:r>
    </w:p>
    <w:bookmarkEnd w:id="53"/>
    <w:bookmarkStart w:id="54" w:name="country-by-country-divergence"/>
    <w:p>
      <w:pPr>
        <w:pStyle w:val="Heading4"/>
      </w:pPr>
      <w:r>
        <w:t xml:space="preserve">3.1.2 Country-by-country divergence</w:t>
      </w:r>
    </w:p>
    <w:p>
      <w:pPr>
        <w:pStyle w:val="FirstParagraph"/>
      </w:pPr>
      <w:r>
        <w:t xml:space="preserve">Table 3.1 maps the author–neighbouring rights divergence across nine EU member states. Sweden and Romania emerge as the only jurisdictions where both CMO types demonstrate meaningful transparency — each for different reasons. Sweden’s STIM (author rights) and SAMI (neighbouring rights) both maintain active unidentified works processes, with STIM having publicly disputed unmatched royalty allocations with digital service providers as early as 2017.</w:t>
      </w:r>
      <w:r>
        <w:t xml:space="preserve"> </w:t>
      </w:r>
      <w:r>
        <w:rPr>
          <w:vertAlign w:val="superscript"/>
        </w:rPr>
        <w:footnoteReference w:id="107"/>
      </w:r>
      <w:r>
        <w:t xml:space="preserve">Romania’s CREDIDAM is unique among European neighbouring rights CMOs: its Articles of Association</w:t>
      </w:r>
      <w:r>
        <w:t xml:space="preserve"> </w:t>
      </w:r>
      <w:r>
        <w:rPr>
          <w:bCs/>
          <w:b/>
        </w:rPr>
        <w:t xml:space="preserve">explicitly mandate</w:t>
      </w:r>
      <w:r>
        <w:t xml:space="preserve"> </w:t>
      </w:r>
      <w:r>
        <w:t xml:space="preserve">publication of unidentified performances on its website within three months of distribution, exceeding even the Directive’s twelve-month deadline.</w:t>
      </w:r>
      <w:r>
        <w:t xml:space="preserve"> </w:t>
      </w:r>
      <w:fldSimple w:instr="NOTEREF _Ref_Footnote_9 \h \f">
        <w:r>
          <w:rPr>
            <w:vertAlign w:val="superscript"/>
          </w:rPr>
          <w:t>9</w:t>
        </w:r>
      </w:fldSimple>
      <w:r>
        <w:t xml:space="preserve">In five of the nine countries — Germany, Spain, the Netherlands, Poland, and Hungary — the gap is unambiguous: the author rights CMO provides at least members-only or partial public tools, while the neighbouring rights CMO publishes nothing. France and Denmark present intermediate cases. SACEM’s public</w:t>
      </w:r>
      <w:r>
        <w:t xml:space="preserve"> </w:t>
      </w:r>
      <w:r>
        <w:t xml:space="preserve">“</w:t>
      </w:r>
      <w:r>
        <w:t xml:space="preserve">œuvres non identifiées</w:t>
      </w:r>
      <w:r>
        <w:t xml:space="preserve">”</w:t>
      </w:r>
      <w:r>
        <w:t xml:space="preserve"> </w:t>
      </w:r>
      <w:r>
        <w:t xml:space="preserve">search tool</w:t>
      </w:r>
      <w:r>
        <w:t xml:space="preserve"> </w:t>
      </w:r>
      <w:r>
        <w:rPr>
          <w:vertAlign w:val="superscript"/>
        </w:rPr>
        <w:footnoteReference w:id="108"/>
      </w:r>
      <w:r>
        <w:t xml:space="preserve">stands in contrast to ADAMI’s members-only claiming service, while Denmark’s Gramex publishes a public list of tracks missing study lists (6,000-plus tracks as of April 2026)</w:t>
      </w:r>
      <w:r>
        <w:t xml:space="preserve"> </w:t>
      </w:r>
      <w:r>
        <w:rPr>
          <w:vertAlign w:val="superscript"/>
        </w:rPr>
        <w:footnoteReference w:id="109"/>
      </w:r>
      <w:r>
        <w:t xml:space="preserve">but the Music Producers’ Organisation (MPO) keeps its unclaimed repertoire behind a login.</w:t>
      </w:r>
      <w:r>
        <w:t xml:space="preserve"> </w:t>
      </w:r>
      <w:r>
        <w:rPr>
          <w:vertAlign w:val="superscript"/>
        </w:rPr>
        <w:footnoteReference w:id="110"/>
      </w:r>
      <w:r>
        <w:rPr>
          <w:bCs/>
          <w:b/>
        </w:rPr>
        <w:t xml:space="preserve">Table 3.1 — Country-Level Transparency Divergence: Author Rights vs. Neighbouring Rights CMOs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Country</w:t>
            </w:r>
          </w:p>
        </w:tc>
        <w:tc>
          <w:tcPr/>
          <w:p>
            <w:pPr>
              <w:pStyle w:val="Compact"/>
              <w:jc w:val="left"/>
            </w:pPr>
            <w:r>
              <w:t xml:space="preserve">Author Rights CMO</w:t>
            </w:r>
          </w:p>
        </w:tc>
        <w:tc>
          <w:tcPr/>
          <w:p>
            <w:pPr>
              <w:pStyle w:val="Compact"/>
              <w:jc w:val="left"/>
            </w:pPr>
            <w:r>
              <w:t xml:space="preserve">Publication Status</w:t>
            </w:r>
          </w:p>
        </w:tc>
        <w:tc>
          <w:tcPr/>
          <w:p>
            <w:pPr>
              <w:pStyle w:val="Compact"/>
              <w:jc w:val="left"/>
            </w:pPr>
            <w:r>
              <w:t xml:space="preserve">Neighbouring Rights CMO</w:t>
            </w:r>
          </w:p>
        </w:tc>
        <w:tc>
          <w:tcPr/>
          <w:p>
            <w:pPr>
              <w:pStyle w:val="Compact"/>
              <w:jc w:val="left"/>
            </w:pPr>
            <w:r>
              <w:t xml:space="preserve">Publication Status</w:t>
            </w:r>
          </w:p>
        </w:tc>
        <w:tc>
          <w:tcPr/>
          <w:p>
            <w:pPr>
              <w:pStyle w:val="Compact"/>
              <w:jc w:val="left"/>
            </w:pPr>
            <w:r>
              <w:t xml:space="preserve">Gap Classification</w:t>
            </w:r>
          </w:p>
        </w:tc>
      </w:tr>
      <w:tr>
        <w:tc>
          <w:tcPr/>
          <w:p>
            <w:pPr>
              <w:pStyle w:val="Compact"/>
              <w:jc w:val="left"/>
            </w:pPr>
            <w:r>
              <w:t xml:space="preserve">Germany</w:t>
            </w:r>
          </w:p>
        </w:tc>
        <w:tc>
          <w:tcPr/>
          <w:p>
            <w:pPr>
              <w:pStyle w:val="Compact"/>
              <w:jc w:val="left"/>
            </w:pPr>
            <w:r>
              <w:t xml:space="preserve">GEMA</w:t>
            </w:r>
          </w:p>
        </w:tc>
        <w:tc>
          <w:tcPr/>
          <w:p>
            <w:pPr>
              <w:pStyle w:val="Compact"/>
              <w:jc w:val="left"/>
            </w:pPr>
            <w:r>
              <w:t xml:space="preserve">Partial (members-only)</w:t>
            </w:r>
            <w:r>
              <w:t xml:space="preserve"> </w:t>
            </w:r>
            <w:r>
              <w:rPr>
                <w:vertAlign w:val="superscript"/>
              </w:rPr>
              <w:footnoteReference w:id="111"/>
            </w:r>
          </w:p>
        </w:tc>
        <w:tc>
          <w:tcPr/>
          <w:p>
            <w:pPr>
              <w:pStyle w:val="Compact"/>
              <w:jc w:val="left"/>
            </w:pPr>
            <w:r>
              <w:t xml:space="preserve">GVL</w:t>
            </w:r>
          </w:p>
        </w:tc>
        <w:tc>
          <w:tcPr/>
          <w:p>
            <w:pPr>
              <w:pStyle w:val="Compact"/>
              <w:jc w:val="left"/>
            </w:pPr>
            <w:r>
              <w:t xml:space="preserve">None</w:t>
            </w:r>
            <w:r>
              <w:t xml:space="preserve"> </w:t>
            </w:r>
            <w:r>
              <w:rPr>
                <w:vertAlign w:val="superscript"/>
              </w:rPr>
              <w:footnoteReference w:id="112"/>
            </w:r>
          </w:p>
        </w:tc>
        <w:tc>
          <w:tcPr/>
          <w:p>
            <w:pPr>
              <w:pStyle w:val="Compact"/>
              <w:jc w:val="left"/>
            </w:pPr>
            <w:r>
              <w:t xml:space="preserve">Clear gap</w:t>
            </w:r>
          </w:p>
        </w:tc>
      </w:tr>
      <w:tr>
        <w:tc>
          <w:tcPr/>
          <w:p>
            <w:pPr>
              <w:pStyle w:val="Compact"/>
              <w:jc w:val="left"/>
            </w:pPr>
            <w:r>
              <w:t xml:space="preserve">France</w:t>
            </w:r>
          </w:p>
        </w:tc>
        <w:tc>
          <w:tcPr/>
          <w:p>
            <w:pPr>
              <w:pStyle w:val="Compact"/>
              <w:jc w:val="left"/>
            </w:pPr>
            <w:r>
              <w:t xml:space="preserve">SACEM</w:t>
            </w:r>
          </w:p>
        </w:tc>
        <w:tc>
          <w:tcPr/>
          <w:p>
            <w:pPr>
              <w:pStyle w:val="Compact"/>
              <w:jc w:val="left"/>
            </w:pPr>
            <w:r>
              <w:t xml:space="preserve">Full public search</w:t>
            </w:r>
            <w:r>
              <w:t xml:space="preserve"> </w:t>
            </w:r>
            <w:fldSimple w:instr="NOTEREF _Ref_Footnote_108 \h \f">
              <w:r>
                <w:rPr>
                  <w:vertAlign w:val="superscript"/>
                </w:rPr>
                <w:t>108</w:t>
              </w:r>
            </w:fldSimple>
          </w:p>
        </w:tc>
        <w:tc>
          <w:tcPr/>
          <w:p>
            <w:pPr>
              <w:pStyle w:val="Compact"/>
              <w:jc w:val="left"/>
            </w:pPr>
            <w:r>
              <w:t xml:space="preserve">ADAMI / SPEDIDAM</w:t>
            </w:r>
          </w:p>
        </w:tc>
        <w:tc>
          <w:tcPr/>
          <w:p>
            <w:pPr>
              <w:pStyle w:val="Compact"/>
              <w:jc w:val="left"/>
            </w:pPr>
            <w:r>
              <w:t xml:space="preserve">Members-only / limited</w:t>
            </w:r>
          </w:p>
        </w:tc>
        <w:tc>
          <w:tcPr/>
          <w:p>
            <w:pPr>
              <w:pStyle w:val="Compact"/>
              <w:jc w:val="left"/>
            </w:pPr>
            <w:r>
              <w:t xml:space="preserve">Partial gap</w:t>
            </w:r>
          </w:p>
        </w:tc>
      </w:tr>
      <w:tr>
        <w:tc>
          <w:tcPr/>
          <w:p>
            <w:pPr>
              <w:pStyle w:val="Compact"/>
              <w:jc w:val="left"/>
            </w:pPr>
            <w:r>
              <w:t xml:space="preserve">Spain</w:t>
            </w:r>
          </w:p>
        </w:tc>
        <w:tc>
          <w:tcPr/>
          <w:p>
            <w:pPr>
              <w:pStyle w:val="Compact"/>
              <w:jc w:val="left"/>
            </w:pPr>
            <w:r>
              <w:t xml:space="preserve">SGAE</w:t>
            </w:r>
          </w:p>
        </w:tc>
        <w:tc>
          <w:tcPr/>
          <w:p>
            <w:pPr>
              <w:pStyle w:val="Compact"/>
              <w:jc w:val="left"/>
            </w:pPr>
            <w:r>
              <w:t xml:space="preserve">Public list</w:t>
            </w:r>
            <w:r>
              <w:t xml:space="preserve"> </w:t>
            </w:r>
            <w:fldSimple w:instr="NOTEREF _Ref_Footnote_2 \h \f">
              <w:r>
                <w:rPr>
                  <w:vertAlign w:val="superscript"/>
                </w:rPr>
                <w:t>2</w:t>
              </w:r>
            </w:fldSimple>
          </w:p>
        </w:tc>
        <w:tc>
          <w:tcPr/>
          <w:p>
            <w:pPr>
              <w:pStyle w:val="Compact"/>
              <w:jc w:val="left"/>
            </w:pPr>
            <w:r>
              <w:t xml:space="preserve">AIE</w:t>
            </w:r>
          </w:p>
        </w:tc>
        <w:tc>
          <w:tcPr/>
          <w:p>
            <w:pPr>
              <w:pStyle w:val="Compact"/>
              <w:jc w:val="left"/>
            </w:pPr>
            <w:r>
              <w:t xml:space="preserve">None</w:t>
            </w:r>
            <w:r>
              <w:t xml:space="preserve"> </w:t>
            </w:r>
            <w:r>
              <w:rPr>
                <w:vertAlign w:val="superscript"/>
              </w:rPr>
              <w:footnoteReference w:id="113"/>
            </w:r>
          </w:p>
        </w:tc>
        <w:tc>
          <w:tcPr/>
          <w:p>
            <w:pPr>
              <w:pStyle w:val="Compact"/>
              <w:jc w:val="left"/>
            </w:pPr>
            <w:r>
              <w:t xml:space="preserve">Clear gap</w:t>
            </w:r>
          </w:p>
        </w:tc>
      </w:tr>
      <w:tr>
        <w:tc>
          <w:tcPr/>
          <w:p>
            <w:pPr>
              <w:pStyle w:val="Compact"/>
              <w:jc w:val="left"/>
            </w:pPr>
            <w:r>
              <w:t xml:space="preserve">Netherlands</w:t>
            </w:r>
          </w:p>
        </w:tc>
        <w:tc>
          <w:tcPr/>
          <w:p>
            <w:pPr>
              <w:pStyle w:val="Compact"/>
              <w:jc w:val="left"/>
            </w:pPr>
            <w:r>
              <w:t xml:space="preserve">BUMA/Stemra</w:t>
            </w:r>
          </w:p>
        </w:tc>
        <w:tc>
          <w:tcPr/>
          <w:p>
            <w:pPr>
              <w:pStyle w:val="Compact"/>
              <w:jc w:val="left"/>
            </w:pPr>
            <w:r>
              <w:t xml:space="preserve">Members-only</w:t>
            </w:r>
          </w:p>
        </w:tc>
        <w:tc>
          <w:tcPr/>
          <w:p>
            <w:pPr>
              <w:pStyle w:val="Compact"/>
              <w:jc w:val="left"/>
            </w:pPr>
            <w:r>
              <w:t xml:space="preserve">NORMA</w:t>
            </w:r>
          </w:p>
        </w:tc>
        <w:tc>
          <w:tcPr/>
          <w:p>
            <w:pPr>
              <w:pStyle w:val="Compact"/>
              <w:jc w:val="left"/>
            </w:pPr>
            <w:r>
              <w:t xml:space="preserve">None</w:t>
            </w:r>
          </w:p>
        </w:tc>
        <w:tc>
          <w:tcPr/>
          <w:p>
            <w:pPr>
              <w:pStyle w:val="Compact"/>
              <w:jc w:val="left"/>
            </w:pPr>
            <w:r>
              <w:t xml:space="preserve">Clear gap</w:t>
            </w:r>
          </w:p>
        </w:tc>
      </w:tr>
      <w:tr>
        <w:tc>
          <w:tcPr/>
          <w:p>
            <w:pPr>
              <w:pStyle w:val="Compact"/>
              <w:jc w:val="left"/>
            </w:pPr>
            <w:r>
              <w:t xml:space="preserve">Poland</w:t>
            </w:r>
          </w:p>
        </w:tc>
        <w:tc>
          <w:tcPr/>
          <w:p>
            <w:pPr>
              <w:pStyle w:val="Compact"/>
              <w:jc w:val="left"/>
            </w:pPr>
            <w:r>
              <w:t xml:space="preserve">ZAiKS</w:t>
            </w:r>
          </w:p>
        </w:tc>
        <w:tc>
          <w:tcPr/>
          <w:p>
            <w:pPr>
              <w:pStyle w:val="Compact"/>
              <w:jc w:val="left"/>
            </w:pPr>
            <w:r>
              <w:t xml:space="preserve">Partial tools</w:t>
            </w:r>
            <w:r>
              <w:t xml:space="preserve"> </w:t>
            </w:r>
            <w:r>
              <w:rPr>
                <w:vertAlign w:val="superscript"/>
              </w:rPr>
              <w:footnoteReference w:id="114"/>
            </w:r>
          </w:p>
        </w:tc>
        <w:tc>
          <w:tcPr/>
          <w:p>
            <w:pPr>
              <w:pStyle w:val="Compact"/>
              <w:jc w:val="left"/>
            </w:pPr>
            <w:r>
              <w:t xml:space="preserve">STOART / SAWP</w:t>
            </w:r>
          </w:p>
        </w:tc>
        <w:tc>
          <w:tcPr/>
          <w:p>
            <w:pPr>
              <w:pStyle w:val="Compact"/>
              <w:jc w:val="left"/>
            </w:pPr>
            <w:r>
              <w:t xml:space="preserve">None</w:t>
            </w:r>
            <w:r>
              <w:t xml:space="preserve"> </w:t>
            </w:r>
            <w:fldSimple w:instr="NOTEREF _Ref_Footnote_38 \h \f">
              <w:r>
                <w:rPr>
                  <w:vertAlign w:val="superscript"/>
                </w:rPr>
                <w:t>38</w:t>
              </w:r>
            </w:fldSimple>
          </w:p>
        </w:tc>
        <w:tc>
          <w:tcPr/>
          <w:p>
            <w:pPr>
              <w:pStyle w:val="Compact"/>
              <w:jc w:val="left"/>
            </w:pPr>
            <w:r>
              <w:t xml:space="preserve">Clear gap</w:t>
            </w:r>
          </w:p>
        </w:tc>
      </w:tr>
      <w:tr>
        <w:tc>
          <w:tcPr/>
          <w:p>
            <w:pPr>
              <w:pStyle w:val="Compact"/>
              <w:jc w:val="left"/>
            </w:pPr>
            <w:r>
              <w:t xml:space="preserve">Sweden</w:t>
            </w:r>
          </w:p>
        </w:tc>
        <w:tc>
          <w:tcPr/>
          <w:p>
            <w:pPr>
              <w:pStyle w:val="Compact"/>
              <w:jc w:val="left"/>
            </w:pPr>
            <w:r>
              <w:t xml:space="preserve">STIM</w:t>
            </w:r>
          </w:p>
        </w:tc>
        <w:tc>
          <w:tcPr/>
          <w:p>
            <w:pPr>
              <w:pStyle w:val="Compact"/>
              <w:jc w:val="left"/>
            </w:pPr>
            <w:r>
              <w:t xml:space="preserve">Public process</w:t>
            </w:r>
            <w:r>
              <w:t xml:space="preserve"> </w:t>
            </w:r>
            <w:fldSimple w:instr="NOTEREF _Ref_Footnote_107 \h \f">
              <w:r>
                <w:rPr>
                  <w:vertAlign w:val="superscript"/>
                </w:rPr>
                <w:t>107</w:t>
              </w:r>
            </w:fldSimple>
          </w:p>
        </w:tc>
        <w:tc>
          <w:tcPr/>
          <w:p>
            <w:pPr>
              <w:pStyle w:val="Compact"/>
              <w:jc w:val="left"/>
            </w:pPr>
            <w:r>
              <w:t xml:space="preserve">SAMI</w:t>
            </w:r>
          </w:p>
        </w:tc>
        <w:tc>
          <w:tcPr/>
          <w:p>
            <w:pPr>
              <w:pStyle w:val="Compact"/>
              <w:jc w:val="left"/>
            </w:pPr>
            <w:r>
              <w:t xml:space="preserve">Partial</w:t>
            </w:r>
          </w:p>
        </w:tc>
        <w:tc>
          <w:tcPr/>
          <w:p>
            <w:pPr>
              <w:pStyle w:val="Compact"/>
              <w:jc w:val="left"/>
            </w:pPr>
            <w:r>
              <w:t xml:space="preserve">Minimal gap</w:t>
            </w:r>
          </w:p>
        </w:tc>
      </w:tr>
      <w:tr>
        <w:tc>
          <w:tcPr/>
          <w:p>
            <w:pPr>
              <w:pStyle w:val="Compact"/>
              <w:jc w:val="left"/>
            </w:pPr>
            <w:r>
              <w:t xml:space="preserve">Denmark</w:t>
            </w:r>
          </w:p>
        </w:tc>
        <w:tc>
          <w:tcPr/>
          <w:p>
            <w:pPr>
              <w:pStyle w:val="Compact"/>
              <w:jc w:val="left"/>
            </w:pPr>
            <w:r>
              <w:t xml:space="preserve">KODA</w:t>
            </w:r>
          </w:p>
        </w:tc>
        <w:tc>
          <w:tcPr/>
          <w:p>
            <w:pPr>
              <w:pStyle w:val="Compact"/>
              <w:jc w:val="left"/>
            </w:pPr>
            <w:r>
              <w:t xml:space="preserve">Public (some)</w:t>
            </w:r>
          </w:p>
        </w:tc>
        <w:tc>
          <w:tcPr/>
          <w:p>
            <w:pPr>
              <w:pStyle w:val="Compact"/>
              <w:jc w:val="left"/>
            </w:pPr>
            <w:r>
              <w:t xml:space="preserve">Gramex / MPO</w:t>
            </w:r>
          </w:p>
        </w:tc>
        <w:tc>
          <w:tcPr/>
          <w:p>
            <w:pPr>
              <w:pStyle w:val="Compact"/>
              <w:jc w:val="left"/>
            </w:pPr>
            <w:r>
              <w:t xml:space="preserve">Public / login</w:t>
            </w:r>
            <w:r>
              <w:t xml:space="preserve"> </w:t>
            </w:r>
            <w:fldSimple w:instr="NOTEREF _Ref_Footnote_109 \h \f">
              <w:r>
                <w:rPr>
                  <w:vertAlign w:val="superscript"/>
                </w:rPr>
                <w:t>109</w:t>
              </w:r>
            </w:fldSimple>
            <w:r>
              <w:t xml:space="preserve"> </w:t>
            </w:r>
            <w:fldSimple w:instr="NOTEREF _Ref_Footnote_110 \h \f">
              <w:r>
                <w:rPr>
                  <w:vertAlign w:val="superscript"/>
                </w:rPr>
                <w:t>110</w:t>
              </w:r>
            </w:fldSimple>
          </w:p>
        </w:tc>
        <w:tc>
          <w:tcPr/>
          <w:p>
            <w:pPr>
              <w:pStyle w:val="Compact"/>
              <w:jc w:val="left"/>
            </w:pPr>
            <w:r>
              <w:t xml:space="preserve">Partial gap</w:t>
            </w:r>
          </w:p>
        </w:tc>
      </w:tr>
      <w:tr>
        <w:tc>
          <w:tcPr/>
          <w:p>
            <w:pPr>
              <w:pStyle w:val="Compact"/>
              <w:jc w:val="left"/>
            </w:pPr>
            <w:r>
              <w:t xml:space="preserve">Hungary</w:t>
            </w:r>
          </w:p>
        </w:tc>
        <w:tc>
          <w:tcPr/>
          <w:p>
            <w:pPr>
              <w:pStyle w:val="Compact"/>
              <w:jc w:val="left"/>
            </w:pPr>
            <w:r>
              <w:t xml:space="preserve">ARTISJUS</w:t>
            </w:r>
          </w:p>
        </w:tc>
        <w:tc>
          <w:tcPr/>
          <w:p>
            <w:pPr>
              <w:pStyle w:val="Compact"/>
              <w:jc w:val="left"/>
            </w:pPr>
            <w:r>
              <w:t xml:space="preserve">Partial (3-year hold)</w:t>
            </w:r>
            <w:r>
              <w:t xml:space="preserve"> </w:t>
            </w:r>
            <w:r>
              <w:rPr>
                <w:vertAlign w:val="superscript"/>
              </w:rPr>
              <w:footnoteReference w:id="115"/>
            </w:r>
          </w:p>
        </w:tc>
        <w:tc>
          <w:tcPr/>
          <w:p>
            <w:pPr>
              <w:pStyle w:val="Compact"/>
              <w:jc w:val="left"/>
            </w:pPr>
            <w:r>
              <w:t xml:space="preserve">EJI</w:t>
            </w:r>
          </w:p>
        </w:tc>
        <w:tc>
          <w:tcPr/>
          <w:p>
            <w:pPr>
              <w:pStyle w:val="Compact"/>
              <w:jc w:val="left"/>
            </w:pPr>
            <w:r>
              <w:t xml:space="preserve">None</w:t>
            </w:r>
          </w:p>
        </w:tc>
        <w:tc>
          <w:tcPr/>
          <w:p>
            <w:pPr>
              <w:pStyle w:val="Compact"/>
              <w:jc w:val="left"/>
            </w:pPr>
            <w:r>
              <w:t xml:space="preserve">Clear gap</w:t>
            </w:r>
          </w:p>
        </w:tc>
      </w:tr>
      <w:tr>
        <w:tc>
          <w:tcPr/>
          <w:p>
            <w:pPr>
              <w:pStyle w:val="Compact"/>
              <w:jc w:val="left"/>
            </w:pPr>
            <w:r>
              <w:t xml:space="preserve">Romania</w:t>
            </w:r>
          </w:p>
        </w:tc>
        <w:tc>
          <w:tcPr/>
          <w:p>
            <w:pPr>
              <w:pStyle w:val="Compact"/>
              <w:jc w:val="left"/>
            </w:pPr>
            <w:r>
              <w:t xml:space="preserve">UCMR-ADA</w:t>
            </w:r>
          </w:p>
        </w:tc>
        <w:tc>
          <w:tcPr/>
          <w:p>
            <w:pPr>
              <w:pStyle w:val="Compact"/>
              <w:jc w:val="left"/>
            </w:pPr>
            <w:r>
              <w:t xml:space="preserve">Public reports</w:t>
            </w:r>
            <w:r>
              <w:t xml:space="preserve"> </w:t>
            </w:r>
            <w:r>
              <w:rPr>
                <w:vertAlign w:val="superscript"/>
              </w:rPr>
              <w:footnoteReference w:id="116"/>
            </w:r>
          </w:p>
        </w:tc>
        <w:tc>
          <w:tcPr/>
          <w:p>
            <w:pPr>
              <w:pStyle w:val="Compact"/>
              <w:jc w:val="left"/>
            </w:pPr>
            <w:r>
              <w:t xml:space="preserve">CREDIDAM</w:t>
            </w:r>
          </w:p>
        </w:tc>
        <w:tc>
          <w:tcPr/>
          <w:p>
            <w:pPr>
              <w:pStyle w:val="Compact"/>
              <w:jc w:val="left"/>
            </w:pPr>
            <w:r>
              <w:t xml:space="preserve">Statutory mandate</w:t>
            </w:r>
            <w:r>
              <w:t xml:space="preserve"> </w:t>
            </w:r>
            <w:fldSimple w:instr="NOTEREF _Ref_Footnote_9 \h \f">
              <w:r>
                <w:rPr>
                  <w:vertAlign w:val="superscript"/>
                </w:rPr>
                <w:t>9</w:t>
              </w:r>
            </w:fldSimple>
          </w:p>
        </w:tc>
        <w:tc>
          <w:tcPr/>
          <w:p>
            <w:pPr>
              <w:pStyle w:val="Compact"/>
              <w:jc w:val="left"/>
            </w:pPr>
            <w:r>
              <w:t xml:space="preserve">No gap</w:t>
            </w:r>
          </w:p>
        </w:tc>
      </w:tr>
    </w:tbl>
    <w:p>
      <w:pPr>
        <w:pStyle w:val="BodyText"/>
      </w:pPr>
      <w:r>
        <w:t xml:space="preserve">The pattern in Table 3.1 is not random. Among the nine countries, five exhibit a clear gap (55.6%), two show a partial gap (22.2%), and only two — both outliers in their respective regions — achieve parity (22.2%). The concentration of clear gaps in Western and Southern Europe (Germany, Spain, Netherlands) and Central Europe (Poland, Hungary) suggests that the divergence is systemic rather than country-specific. Even France, where SACEM operates one of Europe’s most advanced public search tools for unidentified works, its neighbouring rights counterparts offer only restricted access.</w:t>
      </w:r>
    </w:p>
    <w:bookmarkEnd w:id="54"/>
    <w:bookmarkEnd w:id="55"/>
    <w:bookmarkStart w:id="60" w:name="root-causes"/>
    <w:p>
      <w:pPr>
        <w:pStyle w:val="Heading3"/>
      </w:pPr>
      <w:r>
        <w:t xml:space="preserve">3.2 Root Causes</w:t>
      </w:r>
    </w:p>
    <w:p>
      <w:pPr>
        <w:pStyle w:val="FirstParagraph"/>
      </w:pPr>
      <w:r>
        <w:t xml:space="preserve">Four interlocking structural factors explain why neighbouring rights CMOs lag their author rights counterparts. These operate at the metadata, technology, institutional, and behavioural levels, respectively, and reinforce one another to create a self-perpetuating transparency deficit.</w:t>
      </w:r>
    </w:p>
    <w:bookmarkStart w:id="56" w:name="X7527407aba15a03334f1374e6e3a87b4c0fc8d2"/>
    <w:p>
      <w:pPr>
        <w:pStyle w:val="Heading4"/>
      </w:pPr>
      <w:r>
        <w:t xml:space="preserve">3.2.1 Metadata infrastructure: the identifier deficit</w:t>
      </w:r>
    </w:p>
    <w:p>
      <w:pPr>
        <w:pStyle w:val="FirstParagraph"/>
      </w:pPr>
      <w:r>
        <w:t xml:space="preserve">The single most important technical explanation for the transparency gap is the disparity in identifier adoption between musical works and sound recordings. A UK Intellectual Property Office study found that author rights CMOs recorded</w:t>
      </w:r>
      <w:r>
        <w:t xml:space="preserve"> </w:t>
      </w:r>
      <w:r>
        <w:rPr>
          <w:bCs/>
          <w:b/>
        </w:rPr>
        <w:t xml:space="preserve">ISWC (International Standard Musical Work Code) identifiers on 87% of works</w:t>
      </w:r>
      <w:r>
        <w:t xml:space="preserve">, with most submissions arriving with complete IPI (Interested Party Information) numbers.</w:t>
      </w:r>
      <w:r>
        <w:t xml:space="preserve"> </w:t>
      </w:r>
      <w:fldSimple w:instr="NOTEREF _Ref_Footnote_8 \h \f">
        <w:r>
          <w:rPr>
            <w:vertAlign w:val="superscript"/>
          </w:rPr>
          <w:t>8</w:t>
        </w:r>
      </w:fldSimple>
      <w:r>
        <w:t xml:space="preserve">By contrast, complete performer identifiers (IPN/ISNI) ranged from</w:t>
      </w:r>
      <w:r>
        <w:t xml:space="preserve"> </w:t>
      </w:r>
      <w:r>
        <w:rPr>
          <w:bCs/>
          <w:b/>
        </w:rPr>
        <w:t xml:space="preserve">only 7% to 73%</w:t>
      </w:r>
      <w:r>
        <w:t xml:space="preserve"> </w:t>
      </w:r>
      <w:r>
        <w:t xml:space="preserve">of recordings, with higher rates observed only for actively managed and high-value recordings.</w:t>
      </w:r>
      <w:r>
        <w:t xml:space="preserve"> </w:t>
      </w:r>
      <w:fldSimple w:instr="NOTEREF _Ref_Footnote_8 \h \f">
        <w:r>
          <w:rPr>
            <w:vertAlign w:val="superscript"/>
          </w:rPr>
          <w:t>8</w:t>
        </w:r>
      </w:fldSimple>
      <w:r>
        <w:t xml:space="preserve">ISRC (International Standard Recording Code) adoption, while widespread in principle, suffers from the absence of a central registry: ISRC revisions occurred on 17% of claims annually, and 4–11% of recordings carried more than one ISRC.</w:t>
      </w:r>
      <w:r>
        <w:t xml:space="preserve"> </w:t>
      </w:r>
      <w:fldSimple w:instr="NOTEREF _Ref_Footnote_8 \h \f">
        <w:r>
          <w:rPr>
            <w:vertAlign w:val="superscript"/>
          </w:rPr>
          <w:t>8</w:t>
        </w:r>
      </w:fldSimple>
      <w:r>
        <w:rPr>
          <w:bCs/>
          <w:b/>
        </w:rPr>
        <w:t xml:space="preserve">Table 3.2 — Metadata Identifier Adoption: Musical Works vs. Sound Recordings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Identifier</w:t>
            </w:r>
          </w:p>
        </w:tc>
        <w:tc>
          <w:tcPr/>
          <w:p>
            <w:pPr>
              <w:pStyle w:val="Compact"/>
              <w:jc w:val="left"/>
            </w:pPr>
            <w:r>
              <w:t xml:space="preserve">Domain</w:t>
            </w:r>
          </w:p>
        </w:tc>
        <w:tc>
          <w:tcPr/>
          <w:p>
            <w:pPr>
              <w:pStyle w:val="Compact"/>
              <w:jc w:val="left"/>
            </w:pPr>
            <w:r>
              <w:t xml:space="preserve">Adoption Rate</w:t>
            </w:r>
          </w:p>
        </w:tc>
        <w:tc>
          <w:tcPr/>
          <w:p>
            <w:pPr>
              <w:pStyle w:val="Compact"/>
              <w:jc w:val="left"/>
            </w:pPr>
            <w:r>
              <w:t xml:space="preserve">Central Registry</w:t>
            </w:r>
          </w:p>
        </w:tc>
        <w:tc>
          <w:tcPr/>
          <w:p>
            <w:pPr>
              <w:pStyle w:val="Compact"/>
              <w:jc w:val="left"/>
            </w:pPr>
            <w:r>
              <w:t xml:space="preserve">Maturity</w:t>
            </w:r>
          </w:p>
        </w:tc>
      </w:tr>
      <w:tr>
        <w:tc>
          <w:tcPr/>
          <w:p>
            <w:pPr>
              <w:pStyle w:val="Compact"/>
              <w:jc w:val="left"/>
            </w:pPr>
            <w:r>
              <w:t xml:space="preserve">ISWC (musical works)</w:t>
            </w:r>
          </w:p>
        </w:tc>
        <w:tc>
          <w:tcPr/>
          <w:p>
            <w:pPr>
              <w:pStyle w:val="Compact"/>
              <w:jc w:val="left"/>
            </w:pPr>
            <w:r>
              <w:t xml:space="preserve">Author rights</w:t>
            </w:r>
          </w:p>
        </w:tc>
        <w:tc>
          <w:tcPr/>
          <w:p>
            <w:pPr>
              <w:pStyle w:val="Compact"/>
              <w:jc w:val="left"/>
            </w:pPr>
            <w:r>
              <w:t xml:space="preserve">~87%</w:t>
            </w:r>
            <w:r>
              <w:t xml:space="preserve"> </w:t>
            </w:r>
            <w:fldSimple w:instr="NOTEREF _Ref_Footnote_8 \h \f">
              <w:r>
                <w:rPr>
                  <w:vertAlign w:val="superscript"/>
                </w:rPr>
                <w:t>8</w:t>
              </w:r>
            </w:fldSimple>
          </w:p>
        </w:tc>
        <w:tc>
          <w:tcPr/>
          <w:p>
            <w:pPr>
              <w:pStyle w:val="Compact"/>
              <w:jc w:val="left"/>
            </w:pPr>
            <w:r>
              <w:t xml:space="preserve">CISAC-operated</w:t>
            </w:r>
          </w:p>
        </w:tc>
        <w:tc>
          <w:tcPr/>
          <w:p>
            <w:pPr>
              <w:pStyle w:val="Compact"/>
              <w:jc w:val="left"/>
            </w:pPr>
            <w:r>
              <w:t xml:space="preserve">Mature (ISO 15707)</w:t>
            </w:r>
          </w:p>
        </w:tc>
      </w:tr>
      <w:tr>
        <w:tc>
          <w:tcPr/>
          <w:p>
            <w:pPr>
              <w:pStyle w:val="Compact"/>
              <w:jc w:val="left"/>
            </w:pPr>
            <w:r>
              <w:t xml:space="preserve">IPI (rightsholders)</w:t>
            </w:r>
          </w:p>
        </w:tc>
        <w:tc>
          <w:tcPr/>
          <w:p>
            <w:pPr>
              <w:pStyle w:val="Compact"/>
              <w:jc w:val="left"/>
            </w:pPr>
            <w:r>
              <w:t xml:space="preserve">Author rights</w:t>
            </w:r>
          </w:p>
        </w:tc>
        <w:tc>
          <w:tcPr/>
          <w:p>
            <w:pPr>
              <w:pStyle w:val="Compact"/>
              <w:jc w:val="left"/>
            </w:pPr>
            <w:r>
              <w:t xml:space="preserve">&gt;90%</w:t>
            </w:r>
            <w:r>
              <w:t xml:space="preserve"> </w:t>
            </w:r>
            <w:fldSimple w:instr="NOTEREF _Ref_Footnote_8 \h \f">
              <w:r>
                <w:rPr>
                  <w:vertAlign w:val="superscript"/>
                </w:rPr>
                <w:t>8</w:t>
              </w:r>
            </w:fldSimple>
          </w:p>
        </w:tc>
        <w:tc>
          <w:tcPr/>
          <w:p>
            <w:pPr>
              <w:pStyle w:val="Compact"/>
              <w:jc w:val="left"/>
            </w:pPr>
            <w:r>
              <w:t xml:space="preserve">SUISA-administered</w:t>
            </w:r>
          </w:p>
        </w:tc>
        <w:tc>
          <w:tcPr/>
          <w:p>
            <w:pPr>
              <w:pStyle w:val="Compact"/>
              <w:jc w:val="left"/>
            </w:pPr>
            <w:r>
              <w:t xml:space="preserve">Mature</w:t>
            </w:r>
          </w:p>
        </w:tc>
      </w:tr>
      <w:tr>
        <w:tc>
          <w:tcPr/>
          <w:p>
            <w:pPr>
              <w:pStyle w:val="Compact"/>
              <w:jc w:val="left"/>
            </w:pPr>
            <w:r>
              <w:t xml:space="preserve">ISRC (recordings)</w:t>
            </w:r>
          </w:p>
        </w:tc>
        <w:tc>
          <w:tcPr/>
          <w:p>
            <w:pPr>
              <w:pStyle w:val="Compact"/>
              <w:jc w:val="left"/>
            </w:pPr>
            <w:r>
              <w:t xml:space="preserve">Neighbouring rights</w:t>
            </w:r>
          </w:p>
        </w:tc>
        <w:tc>
          <w:tcPr/>
          <w:p>
            <w:pPr>
              <w:pStyle w:val="Compact"/>
              <w:jc w:val="left"/>
            </w:pPr>
            <w:r>
              <w:t xml:space="preserve">Widespread but fragmented</w:t>
            </w:r>
          </w:p>
        </w:tc>
        <w:tc>
          <w:tcPr/>
          <w:p>
            <w:pPr>
              <w:pStyle w:val="Compact"/>
              <w:jc w:val="left"/>
            </w:pPr>
            <w:r>
              <w:t xml:space="preserve">None (local allocation only)</w:t>
            </w:r>
            <w:r>
              <w:t xml:space="preserve"> </w:t>
            </w:r>
            <w:fldSimple w:instr="NOTEREF _Ref_Footnote_8 \h \f">
              <w:r>
                <w:rPr>
                  <w:vertAlign w:val="superscript"/>
                </w:rPr>
                <w:t>8</w:t>
              </w:r>
            </w:fldSimple>
          </w:p>
        </w:tc>
        <w:tc>
          <w:tcPr/>
          <w:p>
            <w:pPr>
              <w:pStyle w:val="Compact"/>
              <w:jc w:val="left"/>
            </w:pPr>
            <w:r>
              <w:t xml:space="preserve">Incomplete</w:t>
            </w:r>
          </w:p>
        </w:tc>
      </w:tr>
      <w:tr>
        <w:tc>
          <w:tcPr/>
          <w:p>
            <w:pPr>
              <w:pStyle w:val="Compact"/>
              <w:jc w:val="left"/>
            </w:pPr>
            <w:r>
              <w:t xml:space="preserve">IPN (performers)</w:t>
            </w:r>
          </w:p>
        </w:tc>
        <w:tc>
          <w:tcPr/>
          <w:p>
            <w:pPr>
              <w:pStyle w:val="Compact"/>
              <w:jc w:val="left"/>
            </w:pPr>
            <w:r>
              <w:t xml:space="preserve">Neighbouring rights</w:t>
            </w:r>
          </w:p>
        </w:tc>
        <w:tc>
          <w:tcPr/>
          <w:p>
            <w:pPr>
              <w:pStyle w:val="Compact"/>
              <w:jc w:val="left"/>
            </w:pPr>
            <w:r>
              <w:t xml:space="preserve">7–73%</w:t>
            </w:r>
            <w:r>
              <w:t xml:space="preserve"> </w:t>
            </w:r>
            <w:fldSimple w:instr="NOTEREF _Ref_Footnote_8 \h \f">
              <w:r>
                <w:rPr>
                  <w:vertAlign w:val="superscript"/>
                </w:rPr>
                <w:t>8</w:t>
              </w:r>
            </w:fldSimple>
          </w:p>
        </w:tc>
        <w:tc>
          <w:tcPr/>
          <w:p>
            <w:pPr>
              <w:pStyle w:val="Compact"/>
              <w:jc w:val="left"/>
            </w:pPr>
            <w:r>
              <w:t xml:space="preserve">SCAPR-managed</w:t>
            </w:r>
          </w:p>
        </w:tc>
        <w:tc>
          <w:tcPr/>
          <w:p>
            <w:pPr>
              <w:pStyle w:val="Compact"/>
              <w:jc w:val="left"/>
            </w:pPr>
            <w:r>
              <w:t xml:space="preserve">Emerging</w:t>
            </w:r>
          </w:p>
        </w:tc>
      </w:tr>
      <w:tr>
        <w:tc>
          <w:tcPr/>
          <w:p>
            <w:pPr>
              <w:pStyle w:val="Compact"/>
              <w:jc w:val="left"/>
            </w:pPr>
            <w:r>
              <w:t xml:space="preserve">ISNI (performers)</w:t>
            </w:r>
          </w:p>
        </w:tc>
        <w:tc>
          <w:tcPr/>
          <w:p>
            <w:pPr>
              <w:pStyle w:val="Compact"/>
              <w:jc w:val="left"/>
            </w:pPr>
            <w:r>
              <w:t xml:space="preserve">Neighbouring rights</w:t>
            </w:r>
          </w:p>
        </w:tc>
        <w:tc>
          <w:tcPr/>
          <w:p>
            <w:pPr>
              <w:pStyle w:val="Compact"/>
              <w:jc w:val="left"/>
            </w:pPr>
            <w:r>
              <w:t xml:space="preserve">Low</w:t>
            </w:r>
          </w:p>
        </w:tc>
        <w:tc>
          <w:tcPr/>
          <w:p>
            <w:pPr>
              <w:pStyle w:val="Compact"/>
              <w:jc w:val="left"/>
            </w:pPr>
            <w:r>
              <w:t xml:space="preserve">ISNI-IA</w:t>
            </w:r>
          </w:p>
        </w:tc>
        <w:tc>
          <w:tcPr/>
          <w:p>
            <w:pPr>
              <w:pStyle w:val="Compact"/>
              <w:jc w:val="left"/>
            </w:pPr>
            <w:r>
              <w:t xml:space="preserve">Emerging</w:t>
            </w:r>
          </w:p>
        </w:tc>
      </w:tr>
    </w:tbl>
    <w:p>
      <w:pPr>
        <w:pStyle w:val="BodyText"/>
      </w:pPr>
      <w:r>
        <w:t xml:space="preserve">Table 3.2 reveals a maturity chasm. The ISWC+IPI ecosystem for musical works has benefited from decades of CISAC investment, producing a centralised, ISO-standardised infrastructure that enables automated matching across borders. The neighbouring rights ecosystem, by contrast, lacks both a central ISRC registry and universal performer identifiers. The IPN (International Performer Number) was created by SCAPR (the international network of performers’ CMOs) to fill this gap, but adoption has been slow: SoundExchange became the first SCAPR non-member to issue IPNs only in October 2024.</w:t>
      </w:r>
      <w:r>
        <w:t xml:space="preserve"> </w:t>
      </w:r>
      <w:r>
        <w:rPr>
          <w:vertAlign w:val="superscript"/>
        </w:rPr>
        <w:footnoteReference w:id="117"/>
      </w:r>
      <w:r>
        <w:t xml:space="preserve">Without robust identifiers, neighbouring rights CMOs cannot match performances to performers algorithmically at the scale that author rights CMOs match works to composers — and without reliable matching, they cannot construct accurate public registries of unidentified works.</w:t>
      </w:r>
    </w:p>
    <w:bookmarkEnd w:id="56"/>
    <w:bookmarkStart w:id="57" w:name="technology-bias-the-ice-asymmetry"/>
    <w:p>
      <w:pPr>
        <w:pStyle w:val="Heading4"/>
      </w:pPr>
      <w:r>
        <w:t xml:space="preserve">3.2.2 Technology bias: the ICE asymmetry</w:t>
      </w:r>
    </w:p>
    <w:p>
      <w:pPr>
        <w:pStyle w:val="FirstParagraph"/>
      </w:pPr>
      <w:r>
        <w:t xml:space="preserve">ICE Services (International Copyright Enterprise), the joint venture between PRS for Music, STIM, and GEMA, operates the most advanced digital copyright processing infrastructure in Europe. Its database contains 55 million-plus musical works, serves 330,000-plus rightsholders across 250-plus territories, and has distributed more than EUR 5 billion since 2016.</w:t>
      </w:r>
      <w:r>
        <w:t xml:space="preserve"> </w:t>
      </w:r>
      <w:fldSimple w:instr="NOTEREF _Ref_Footnote_14 \h \f">
        <w:r>
          <w:rPr>
            <w:vertAlign w:val="superscript"/>
          </w:rPr>
          <w:t>14</w:t>
        </w:r>
      </w:fldSimple>
      <w:r>
        <w:t xml:space="preserve"> </w:t>
      </w:r>
      <w:r>
        <w:rPr>
          <w:vertAlign w:val="superscript"/>
        </w:rPr>
        <w:footnoteReference w:id="118"/>
      </w:r>
      <w:r>
        <w:t xml:space="preserve">ICE’s machine-learning-powered matching and two-stage invoicing have reportedly brought in over EUR 180 million in additional royalties.</w:t>
      </w:r>
      <w:r>
        <w:t xml:space="preserve"> </w:t>
      </w:r>
      <w:r>
        <w:rPr>
          <w:vertAlign w:val="superscript"/>
        </w:rPr>
        <w:footnoteReference w:id="119"/>
      </w:r>
      <w:r>
        <w:t xml:space="preserve">ICE handles</w:t>
      </w:r>
      <w:r>
        <w:t xml:space="preserve"> </w:t>
      </w:r>
      <w:r>
        <w:rPr>
          <w:bCs/>
          <w:b/>
        </w:rPr>
        <w:t xml:space="preserve">only authors’ rights in musical works</w:t>
      </w:r>
      <w:r>
        <w:t xml:space="preserve">. Its Core licence represents repertoire from PRS, STIM, GEMA, and independent publishers for musical works exclusively.</w:t>
      </w:r>
      <w:r>
        <w:t xml:space="preserve"> </w:t>
      </w:r>
      <w:fldSimple w:instr="NOTEREF _Ref_Footnote_7 \h \f">
        <w:r>
          <w:rPr>
            <w:vertAlign w:val="superscript"/>
          </w:rPr>
          <w:t>7</w:t>
        </w:r>
      </w:fldSimple>
      <w:r>
        <w:t xml:space="preserve">Neighbouring rights CMOs have no equivalent hub. ICE’s new</w:t>
      </w:r>
      <w:r>
        <w:t xml:space="preserve"> </w:t>
      </w:r>
      <w:r>
        <w:t xml:space="preserve">“</w:t>
      </w:r>
      <w:r>
        <w:t xml:space="preserve">Cube</w:t>
      </w:r>
      <w:r>
        <w:t xml:space="preserve">”</w:t>
      </w:r>
      <w:r>
        <w:t xml:space="preserve"> </w:t>
      </w:r>
      <w:r>
        <w:t xml:space="preserve">platform, launched in 2025, promises</w:t>
      </w:r>
      <w:r>
        <w:t xml:space="preserve"> </w:t>
      </w:r>
      <w:r>
        <w:t xml:space="preserve">“</w:t>
      </w:r>
      <w:r>
        <w:t xml:space="preserve">transparency in its DNA</w:t>
      </w:r>
      <w:r>
        <w:t xml:space="preserve">”</w:t>
      </w:r>
      <w:r>
        <w:t xml:space="preserve"> </w:t>
      </w:r>
      <w:r>
        <w:t xml:space="preserve">— but this transparency extends only to registered customers and rightsholders, not the general public, and in any case excludes performers entirely.</w:t>
      </w:r>
      <w:r>
        <w:t xml:space="preserve"> </w:t>
      </w:r>
      <w:r>
        <w:rPr>
          <w:vertAlign w:val="superscript"/>
        </w:rPr>
        <w:footnoteReference w:id="120"/>
      </w:r>
      <w:r>
        <w:t xml:space="preserve">The result is a technology asymmetry in which the most sophisticated matching infrastructure in the European market serves only one category of rightholders, leaving neighbouring rights CMOs to rely on less advanced, nationally fragmented systems. This structural bias compounds the metadata deficit: even if neighbouring rights CMOs had perfect performer identifiers, they would still lack access to the centralised processing power that author rights CMOs enjoy through ICE.</w:t>
      </w:r>
    </w:p>
    <w:bookmarkEnd w:id="57"/>
    <w:bookmarkStart w:id="58" w:name="historical-institutional-design"/>
    <w:p>
      <w:pPr>
        <w:pStyle w:val="Heading4"/>
      </w:pPr>
      <w:r>
        <w:t xml:space="preserve">3.2.3 Historical institutional design</w:t>
      </w:r>
    </w:p>
    <w:p>
      <w:pPr>
        <w:pStyle w:val="FirstParagraph"/>
      </w:pPr>
      <w:r>
        <w:t xml:space="preserve">Many performer CMOs were originally established by record companies rather than by performers themselves. A study of PPL UK observed that the organisation</w:t>
      </w:r>
      <w:r>
        <w:t xml:space="preserve"> </w:t>
      </w:r>
      <w:r>
        <w:t xml:space="preserve">“</w:t>
      </w:r>
      <w:r>
        <w:t xml:space="preserve">marshals social, financial, legal and technological resources to prioritise the interests of record companies over those of performers.</w:t>
      </w:r>
      <w:r>
        <w:t xml:space="preserve">”</w:t>
      </w:r>
      <w:r>
        <w:t xml:space="preserve"> </w:t>
      </w:r>
      <w:r>
        <w:rPr>
          <w:vertAlign w:val="superscript"/>
        </w:rPr>
        <w:footnoteReference w:id="121"/>
      </w:r>
      <w:r>
        <w:t xml:space="preserve">This origin story has lasting governance consequences: performer representation on boards tends to be weaker, performer interests in transparency are deprioritised relative to producer interests, and the institutional culture emphasises efficient distribution to known major accounts over exhaustive identification of dispersed individual performers.</w:t>
      </w:r>
    </w:p>
    <w:p>
      <w:pPr>
        <w:pStyle w:val="BodyText"/>
      </w:pPr>
      <w:r>
        <w:t xml:space="preserve">The contrast with author rights CMOs is instructive. Composers’ societies such as SACEM (founded 1851) and PRS for Music (founded 1914) were established by creators seeking collective bargaining power against publishers and venues. Their governance structures evolved to prioritise member identification and accurate distribution because their founding members demanded it. Performer CMOs, by contrast, often originated as administrative conveniences for record labels seeking to manage equitable remuneration obligations — a purpose for which exhaustive performer identification was not a priority.</w:t>
      </w:r>
    </w:p>
    <w:bookmarkEnd w:id="58"/>
    <w:bookmarkStart w:id="59" w:name="the-session-musician-problem"/>
    <w:p>
      <w:pPr>
        <w:pStyle w:val="Heading4"/>
      </w:pPr>
      <w:r>
        <w:t xml:space="preserve">3.2.4 The session musician problem</w:t>
      </w:r>
    </w:p>
    <w:p>
      <w:pPr>
        <w:pStyle w:val="FirstParagraph"/>
      </w:pPr>
      <w:r>
        <w:t xml:space="preserve">Author rights CMOs deal with identifiable creators — songwriters, composers, and publishers — who typically register works proactively before or shortly after commercial release. Neighbouring rights CMOs, by contrast, must identify session musicians who may not know they are entitled to royalties, may never have registered with any CMO, and whose contributions are frequently undocumented in recording metadata.</w:t>
      </w:r>
      <w:r>
        <w:t xml:space="preserve"> </w:t>
      </w:r>
      <w:fldSimple w:instr="NOTEREF _Ref_Footnote_8 \h \f">
        <w:r>
          <w:rPr>
            <w:vertAlign w:val="superscript"/>
          </w:rPr>
          <w:t>8</w:t>
        </w:r>
      </w:fldSimple>
      <w:r>
        <w:t xml:space="preserve">The UK metadata study found that</w:t>
      </w:r>
      <w:r>
        <w:t xml:space="preserve"> </w:t>
      </w:r>
      <w:r>
        <w:t xml:space="preserve">“</w:t>
      </w:r>
      <w:r>
        <w:t xml:space="preserve">contributor data quality varies, and there is a lack of comprehensive performer information, especially for session musicians.</w:t>
      </w:r>
      <w:r>
        <w:t xml:space="preserve">”</w:t>
      </w:r>
      <w:r>
        <w:t xml:space="preserve"> </w:t>
      </w:r>
      <w:fldSimple w:instr="NOTEREF _Ref_Footnote_8 \h \f">
        <w:r>
          <w:rPr>
            <w:vertAlign w:val="superscript"/>
          </w:rPr>
          <w:t>8</w:t>
        </w:r>
      </w:fldSimple>
      <w:r>
        <w:t xml:space="preserve">This behavioural dimension amplifies all the structural factors above. Session musicians rarely register proactively because they are often paid upfront studio fees and are unaware of ongoing neighbouring rights entitlements. When their performances are broadcast or streamed, the neighbouring rights CMO receives usage data but lacks both the metadata (no IPN, incomplete cast lists) and the institutional incentives (producer-controlled governance, no public registry pressure) to identify them. The result is a self-reinforcing cycle in which opacity begets further opacity: because unidentified performer royalties are not publicised, performers do not know to claim them; because performers do not claim, the CMO has less incentive to invest in identification infrastructure; and because identification infrastructure remains weak, the CMO cannot publish accurate registries.</w:t>
      </w:r>
    </w:p>
    <w:bookmarkEnd w:id="59"/>
    <w:bookmarkEnd w:id="60"/>
    <w:bookmarkStart w:id="66" w:name="implications"/>
    <w:p>
      <w:pPr>
        <w:pStyle w:val="Heading3"/>
      </w:pPr>
      <w:r>
        <w:t xml:space="preserve">3.3 Implications</w:t>
      </w:r>
    </w:p>
    <w:bookmarkStart w:id="61" w:name="X89ceba35a5a9f596cd38126b0ab28b4fa1cdc94"/>
    <w:p>
      <w:pPr>
        <w:pStyle w:val="Heading4"/>
      </w:pPr>
      <w:r>
        <w:t xml:space="preserve">3.3.1 Disproportionate impact on vulnerable creator categories</w:t>
      </w:r>
    </w:p>
    <w:p>
      <w:pPr>
        <w:pStyle w:val="FirstParagraph"/>
      </w:pPr>
      <w:r>
        <w:t xml:space="preserve">The transparency gap between author and neighbouring rights CMOs is not distributionally neutral. It disproportionately affects creator categories that are already disadvantaged in the music industry’s economic structure. Session musicians, backing vocalists, classical orchestral performers, and jazz sidemen are the populations most likely to have unidentified or unmatched neighbouring rights royalties — and the least likely to have the industry knowledge, administrative capacity, or bargaining power to pursue claims through members-only channels or opaque internal processes.</w:t>
      </w:r>
    </w:p>
    <w:p>
      <w:pPr>
        <w:pStyle w:val="BodyText"/>
      </w:pPr>
      <w:r>
        <w:t xml:space="preserve">These categories overlap significantly with demographics that exhibit lower incomes and less stable employment in the creative sector. A backing vocalist on a commercially successful recording may generate substantial neighbouring rights revenue through repeated broadcast and streaming, yet if her performance is not documented in the recording’s metadata and her CMO does not publish a public registry, those royalties will sit in undistributable accounts for three years before reverting to the CMO’s general membership under Article 13(4).</w:t>
      </w:r>
      <w:r>
        <w:t xml:space="preserve"> </w:t>
      </w:r>
      <w:fldSimple w:instr="NOTEREF _Ref_Footnote_2 \h \f">
        <w:r>
          <w:rPr>
            <w:vertAlign w:val="superscript"/>
          </w:rPr>
          <w:t>2</w:t>
        </w:r>
      </w:fldSimple>
      <w:r>
        <w:t xml:space="preserve">The wealth transfer effect is structural: identified members (typically established artists, composers, and publishers) receive pro-rata redistributions funded by the unclaimed earnings of unidentified performers (typically marginalised, transient, or less commercially powerful creators).</w:t>
      </w:r>
    </w:p>
    <w:p>
      <w:pPr>
        <w:pStyle w:val="BodyText"/>
      </w:pPr>
      <w:r>
        <w:t xml:space="preserve">Gramex Denmark’s public list of tracks missing study lists — which contained over 6,000 entries as of April 2026</w:t>
      </w:r>
      <w:r>
        <w:t xml:space="preserve"> </w:t>
      </w:r>
      <w:fldSimple w:instr="NOTEREF _Ref_Footnote_109 \h \f">
        <w:r>
          <w:rPr>
            <w:vertAlign w:val="superscript"/>
          </w:rPr>
          <w:t>109</w:t>
        </w:r>
      </w:fldSimple>
      <w:r>
        <w:t xml:space="preserve">— illustrates both the scale of the problem and the feasibility of partial solutions. By requiring producers to submit complete performer documentation and publishing the resulting gaps, Gramex creates an accountability mechanism that most neighbouring rights CMOs lack. Romania’s CREDIDAM goes further, embedding the publication obligation directly in its organisational statute and mandating a three-month publication window that exceeds the Directive’s requirements.</w:t>
      </w:r>
      <w:r>
        <w:t xml:space="preserve"> </w:t>
      </w:r>
      <w:fldSimple w:instr="NOTEREF _Ref_Footnote_9 \h \f">
        <w:r>
          <w:rPr>
            <w:vertAlign w:val="superscript"/>
          </w:rPr>
          <w:t>9</w:t>
        </w:r>
      </w:fldSimple>
      <w:r>
        <w:t xml:space="preserve">These exceptions demonstrate that neighbouring rights transparency is achievable; the deficit is one of institutional choice, not technical impossibility.</w:t>
      </w:r>
    </w:p>
    <w:bookmarkEnd w:id="61"/>
    <w:bookmarkStart w:id="65" w:name="regional-patterns-in-the-compliance-gap"/>
    <w:p>
      <w:pPr>
        <w:pStyle w:val="Heading4"/>
      </w:pPr>
      <w:r>
        <w:t xml:space="preserve">3.3.2 Regional patterns in the compliance gap</w:t>
      </w:r>
    </w:p>
    <w:p>
      <w:pPr>
        <w:pStyle w:val="FirstParagraph"/>
      </w:pPr>
      <w:r>
        <w:t xml:space="preserve">Figure 3.1 presents compliance index scores for author rights and neighbouring rights CMOs across four European regions, derived from the audit assessments documented in Table 3.1.</w:t>
      </w:r>
    </w:p>
    <w:p>
      <w:pPr>
        <w:pStyle w:val="CaptionedFigure"/>
      </w:pPr>
      <w:r>
        <w:drawing>
          <wp:inline>
            <wp:extent cx="5334000" cy="3085726"/>
            <wp:effectExtent b="0" l="0" r="0" t="0"/>
            <wp:docPr descr="Figure 3.1 — Compliance Rate Gap: Author Rights vs. Neighbouring Rights CMOs by Region" title="" id="63" name="Picture"/>
            <a:graphic>
              <a:graphicData uri="http://schemas.openxmlformats.org/drawingml/2006/picture">
                <pic:pic>
                  <pic:nvPicPr>
                    <pic:cNvPr descr="cmo_registry_chart_author_vs_neighbouring.png" id="64" name="Picture"/>
                    <pic:cNvPicPr>
                      <a:picLocks noChangeArrowheads="1" noChangeAspect="1"/>
                    </pic:cNvPicPr>
                  </pic:nvPicPr>
                  <pic:blipFill>
                    <a:blip r:embed="rId62"/>
                    <a:stretch>
                      <a:fillRect/>
                    </a:stretch>
                  </pic:blipFill>
                  <pic:spPr bwMode="auto">
                    <a:xfrm>
                      <a:off x="0" y="0"/>
                      <a:ext cx="5334000" cy="3085726"/>
                    </a:xfrm>
                    <a:prstGeom prst="rect">
                      <a:avLst/>
                    </a:prstGeom>
                    <a:noFill/>
                    <a:ln w="9525">
                      <a:noFill/>
                      <a:headEnd/>
                      <a:tailEnd/>
                    </a:ln>
                  </pic:spPr>
                </pic:pic>
              </a:graphicData>
            </a:graphic>
          </wp:inline>
        </w:drawing>
      </w:r>
    </w:p>
    <w:p>
      <w:pPr>
        <w:pStyle w:val="ImageCaption"/>
      </w:pPr>
      <w:r>
        <w:t xml:space="preserve">Figure 3.1 — Compliance Rate Gap: Author Rights vs. Neighbouring Rights CMOs by Region</w:t>
      </w:r>
    </w:p>
    <w:p>
      <w:pPr>
        <w:pStyle w:val="BodyText"/>
      </w:pPr>
      <w:r>
        <w:t xml:space="preserve">The chart reveals three important patterns. First, the gap is widest in Southern Europe (60.0 percentage points), where Spain’s SGAE publishes publicly while AIE publishes nothing at all. Second, the gap is narrowest in Northern Europe (17.5 percentage points), where both Sweden and Denmark have made meaningful investments in neighbouring rights transparency — Sweden through SAMI’s active claiming processes and Denmark through Gramex’s public tracks list. Third, Central and Eastern Europe presents a bifurcated picture: Romania’s CREDIDAM achieves the highest neighbouring rights compliance score of any CMO in the sample, while Poland’s STOART/SAWP and Hungary’s EJI score at the bottom. This bifurcation reflects the post-communist restructuring dynamic identified elsewhere in this report, in which some CEE CMOs were rebuilt with modern governance and digital infrastructure while others retained legacy institutional cultures.</w:t>
      </w:r>
    </w:p>
    <w:p>
      <w:pPr>
        <w:pStyle w:val="BodyText"/>
      </w:pPr>
      <w:r>
        <w:t xml:space="preserve">The Western European cluster — containing Germany, France, and the Netherlands — shows a 40.0 percentage-point gap, driven primarily by the performance of GVL (Germany), ADAMI (France), and NORMA (Netherlands), all of which fail to publish public unidentified works lists despite operating in markets with EUR 1 billion-plus music revenues. The persistence of this gap in Europe’s largest and most digitally advanced markets suggests that the neighbouring rights transparency deficit is not a problem of market size or technical capacity. If it were, Germany’s GVL — operating in the EU’s largest music market — would be expected to lead rather than lag. Instead, the evidence supports the conclusion that governance structure, institutional incentives, and regulatory enforcement are the binding constraints on neighbouring rights CMO transparency.</w:t>
      </w:r>
    </w:p>
    <w:p>
      <w:pPr>
        <w:pStyle w:val="BodyText"/>
      </w:pPr>
      <w:r>
        <w:t xml:space="preserve">The structural inequality documented in this chapter carries forward into the broader assessment of format, accessibility, and technology standards examined in Chapter 4. The metadata infrastructure gap — ISWC at 87% adoption versus IPN at 7–73% — means that even if all neighbouring rights CMOs were to begin publishing registries tomorrow, the data quality of those registries would remain inferior to their author rights counterparts. Closing the transparency gap requires not only mandating publication but also investing in the identifier infrastructure, technology platforms, and governance reforms that would make meaningful publication possible.</w:t>
      </w:r>
    </w:p>
    <w:p>
      <w:r>
        <w:pict>
          <v:rect style="width:0;height:1.5pt" o:hralign="center" o:hrstd="t" o:hr="t"/>
        </w:pict>
      </w:r>
    </w:p>
    <w:bookmarkEnd w:id="65"/>
    <w:bookmarkEnd w:id="66"/>
    <w:bookmarkEnd w:id="67"/>
    <w:bookmarkStart w:id="78" w:name="Xbbd2b000ab405ab4aeb1e6ac191b92831bb799e"/>
    <w:p>
      <w:pPr>
        <w:pStyle w:val="Heading2"/>
      </w:pPr>
      <w:r>
        <w:t xml:space="preserve">4. Format, Accessibility and Technology Assessment</w:t>
      </w:r>
    </w:p>
    <w:bookmarkStart w:id="71" w:name="format-distribution"/>
    <w:p>
      <w:pPr>
        <w:pStyle w:val="Heading3"/>
      </w:pPr>
      <w:r>
        <w:t xml:space="preserve">4.1 Format Distribution</w:t>
      </w:r>
    </w:p>
    <w:p>
      <w:pPr>
        <w:pStyle w:val="FirstParagraph"/>
      </w:pPr>
      <w:r>
        <w:t xml:space="preserve">The manner in which Collective Management Organisations (CMOs) publish unidentified works data varies as widely as the Member States that host them. Of the approximately 60 CMOs examined across the European Union, the European Economic Area and the United Kingdom, only 21 presented an identifiable registry — whether public or members-only — for unmatched or unidentified musical works</w:t>
      </w:r>
      <w:r>
        <w:t xml:space="preserve"> </w:t>
      </w:r>
      <w:fldSimple w:instr="NOTEREF _Ref_Footnote_3 \h \f">
        <w:r>
          <w:rPr>
            <w:vertAlign w:val="superscript"/>
          </w:rPr>
          <w:t>3</w:t>
        </w:r>
      </w:fldSimple>
      <w:r>
        <w:t xml:space="preserve"> </w:t>
      </w:r>
      <w:fldSimple w:instr="NOTEREF _Ref_Footnote_108 \h \f">
        <w:r>
          <w:rPr>
            <w:vertAlign w:val="superscript"/>
          </w:rPr>
          <w:t>108</w:t>
        </w:r>
      </w:fldSimple>
      <w:r>
        <w:t xml:space="preserve"> </w:t>
      </w:r>
      <w:fldSimple w:instr="NOTEREF _Ref_Footnote_90 \h \f">
        <w:r>
          <w:rPr>
            <w:vertAlign w:val="superscript"/>
          </w:rPr>
          <w:t>90</w:t>
        </w:r>
      </w:fldSimple>
      <w:r>
        <w:t xml:space="preserve">. The remaining roughly 39 organisations either restricted access entirely to internal systems, published only policy documents without actionable data, or offered no discoverable registry at all. This section catalogues the formats that do exist and assesses their practical utility for rightsholders.</w:t>
      </w:r>
    </w:p>
    <w:p>
      <w:pPr>
        <w:pStyle w:val="BodyText"/>
      </w:pPr>
      <w:r>
        <w:t xml:space="preserve">Direct examination of CMO websites and portals revealed five distinct publication formats. The most accessible category comprises interactive web-search interfaces that require no login. SACEM (France), KODA (Denmark), SPEDIDAM (France), ZAiKS (Poland) and EAÜ (Estonia) each offer such tools</w:t>
      </w:r>
      <w:r>
        <w:t xml:space="preserve"> </w:t>
      </w:r>
      <w:fldSimple w:instr="NOTEREF _Ref_Footnote_17 \h \f">
        <w:r>
          <w:rPr>
            <w:vertAlign w:val="superscript"/>
          </w:rPr>
          <w:t>17</w:t>
        </w:r>
      </w:fldSimple>
      <w:r>
        <w:t xml:space="preserve"> </w:t>
      </w:r>
      <w:fldSimple w:instr="NOTEREF _Ref_Footnote_85 \h \f">
        <w:r>
          <w:rPr>
            <w:vertAlign w:val="superscript"/>
          </w:rPr>
          <w:t>85</w:t>
        </w:r>
      </w:fldSimple>
      <w:r>
        <w:t xml:space="preserve"> </w:t>
      </w:r>
      <w:fldSimple w:instr="NOTEREF _Ref_Footnote_67 \h \f">
        <w:r>
          <w:rPr>
            <w:vertAlign w:val="superscript"/>
          </w:rPr>
          <w:t>67</w:t>
        </w:r>
      </w:fldSimple>
      <w:r>
        <w:t xml:space="preserve"> </w:t>
      </w:r>
      <w:r>
        <w:rPr>
          <w:vertAlign w:val="superscript"/>
        </w:rPr>
        <w:footnoteReference w:id="122"/>
      </w:r>
      <w:r>
        <w:t xml:space="preserve"> </w:t>
      </w:r>
      <w:fldSimple w:instr="NOTEREF _Ref_Footnote_48 \h \f">
        <w:r>
          <w:rPr>
            <w:vertAlign w:val="superscript"/>
          </w:rPr>
          <w:t>48</w:t>
        </w:r>
      </w:fldSimple>
      <w:r>
        <w:t xml:space="preserve">. SACEM’s ONI search permits querying by title or creator name and embeds a claim-notification button per result</w:t>
      </w:r>
      <w:r>
        <w:t xml:space="preserve"> </w:t>
      </w:r>
      <w:fldSimple w:instr="NOTEREF _Ref_Footnote_17 \h \f">
        <w:r>
          <w:rPr>
            <w:vertAlign w:val="superscript"/>
          </w:rPr>
          <w:t>17</w:t>
        </w:r>
      </w:fldSimple>
      <w:r>
        <w:t xml:space="preserve">; KODA adds filtering by amount ranges and usage source with Excel export</w:t>
      </w:r>
      <w:r>
        <w:t xml:space="preserve"> </w:t>
      </w:r>
      <w:fldSimple w:instr="NOTEREF _Ref_Footnote_85 \h \f">
        <w:r>
          <w:rPr>
            <w:vertAlign w:val="superscript"/>
          </w:rPr>
          <w:t>85</w:t>
        </w:r>
      </w:fldSimple>
      <w:r>
        <w:t xml:space="preserve">. No European CMO, however, offers bulk matching against an uploaded catalogue.</w:t>
      </w:r>
    </w:p>
    <w:p>
      <w:pPr>
        <w:pStyle w:val="BodyText"/>
      </w:pPr>
      <w:r>
        <w:t xml:space="preserve">The second category consists of downloadable Excel spreadsheets. Gramex (Finland) publishes bilingual .xlsx files updated monthly</w:t>
      </w:r>
      <w:r>
        <w:t xml:space="preserve"> </w:t>
      </w:r>
      <w:r>
        <w:rPr>
          <w:vertAlign w:val="superscript"/>
        </w:rPr>
        <w:footnoteReference w:id="123"/>
      </w:r>
      <w:r>
        <w:t xml:space="preserve">; SOZA (Slovakia) provides annual snapshots exceeding 4 MB</w:t>
      </w:r>
      <w:r>
        <w:t xml:space="preserve"> </w:t>
      </w:r>
      <w:fldSimple w:instr="NOTEREF _Ref_Footnote_90 \h \f">
        <w:r>
          <w:rPr>
            <w:vertAlign w:val="superscript"/>
          </w:rPr>
          <w:t>90</w:t>
        </w:r>
      </w:fldSimple>
      <w:r>
        <w:t xml:space="preserve">; HDS-ZAMP (Croatia) distinguishes itself with three separate lists for domestic works, foreign works and unregistered rights holders</w:t>
      </w:r>
      <w:r>
        <w:t xml:space="preserve"> </w:t>
      </w:r>
      <w:r>
        <w:rPr>
          <w:vertAlign w:val="superscript"/>
        </w:rPr>
        <w:footnoteReference w:id="124"/>
      </w:r>
      <w:r>
        <w:t xml:space="preserve">. STIM (Sweden) and INTERGRAM (Czech Republic) also publish Excel files</w:t>
      </w:r>
      <w:r>
        <w:t xml:space="preserve"> </w:t>
      </w:r>
      <w:fldSimple w:instr="NOTEREF _Ref_Footnote_42 \h \f">
        <w:r>
          <w:rPr>
            <w:vertAlign w:val="superscript"/>
          </w:rPr>
          <w:t>42</w:t>
        </w:r>
      </w:fldSimple>
      <w:r>
        <w:t xml:space="preserve"> </w:t>
      </w:r>
      <w:fldSimple w:instr="NOTEREF _Ref_Footnote_63 \h \f">
        <w:r>
          <w:rPr>
            <w:vertAlign w:val="superscript"/>
          </w:rPr>
          <w:t>63</w:t>
        </w:r>
      </w:fldSimple>
      <w:r>
        <w:t xml:space="preserve">. For publishers managing large catalogues, this is the most practical format because it permits offline sorting and cross-referencing.</w:t>
      </w:r>
    </w:p>
    <w:p>
      <w:pPr>
        <w:pStyle w:val="BodyText"/>
      </w:pPr>
      <w:r>
        <w:t xml:space="preserve">PDF downloads constitute the third category. UCMR-ADA (Romania) maintains the most granular archive — monthly PDFs stretching back to 2018, totalling more than 80 documents</w:t>
      </w:r>
      <w:r>
        <w:t xml:space="preserve"> </w:t>
      </w:r>
      <w:fldSimple w:instr="NOTEREF _Ref_Footnote_3 \h \f">
        <w:r>
          <w:rPr>
            <w:vertAlign w:val="superscript"/>
          </w:rPr>
          <w:t>3</w:t>
        </w:r>
      </w:fldSimple>
      <w:r>
        <w:t xml:space="preserve">. PRS for Music (United Kingdom) organises PDFs by value band (£1–24, £25–49, £50–99, £100+), enabling prioritisation of high-value claims</w:t>
      </w:r>
      <w:r>
        <w:t xml:space="preserve"> </w:t>
      </w:r>
      <w:fldSimple w:instr="NOTEREF _Ref_Footnote_61 \h \f">
        <w:r>
          <w:rPr>
            <w:vertAlign w:val="superscript"/>
          </w:rPr>
          <w:t>61</w:t>
        </w:r>
      </w:fldSimple>
      <w:r>
        <w:t xml:space="preserve">. SGAE (Spain), MUSICAUTOR (Bulgaria), ARTISJUS (Hungary) and SLOVGRAM (Slovakia) also publish PDF lists</w:t>
      </w:r>
      <w:r>
        <w:t xml:space="preserve"> </w:t>
      </w:r>
      <w:fldSimple w:instr="NOTEREF _Ref_Footnote_59 \h \f">
        <w:r>
          <w:rPr>
            <w:vertAlign w:val="superscript"/>
          </w:rPr>
          <w:t>59</w:t>
        </w:r>
      </w:fldSimple>
      <w:r>
        <w:t xml:space="preserve"> </w:t>
      </w:r>
      <w:fldSimple w:instr="NOTEREF _Ref_Footnote_44 \h \f">
        <w:r>
          <w:rPr>
            <w:vertAlign w:val="superscript"/>
          </w:rPr>
          <w:t>44</w:t>
        </w:r>
      </w:fldSimple>
      <w:r>
        <w:t xml:space="preserve"> </w:t>
      </w:r>
      <w:r>
        <w:rPr>
          <w:vertAlign w:val="superscript"/>
        </w:rPr>
        <w:footnoteReference w:id="125"/>
      </w:r>
      <w:r>
        <w:t xml:space="preserve"> </w:t>
      </w:r>
      <w:fldSimple w:instr="NOTEREF _Ref_Footnote_77 \h \f">
        <w:r>
          <w:rPr>
            <w:vertAlign w:val="superscript"/>
          </w:rPr>
          <w:t>77</w:t>
        </w:r>
      </w:fldSimple>
      <w:r>
        <w:t xml:space="preserve">. While PDFs provide a legally fixed record, they resist bulk processing; a publisher with a 1,000-title catalogue cannot efficiently scan hundreds of separate PDFs without document-parsing infrastructure.</w:t>
      </w:r>
    </w:p>
    <w:p>
      <w:pPr>
        <w:pStyle w:val="BodyText"/>
      </w:pPr>
      <w:r>
        <w:t xml:space="preserve">The fourth category regroups CMOs that confine data to members-only portals. GEMA (Germany), SIAE (Italy), TEOSTO (Finland), OSA (Czech Republic) and ADAMI (France) all require login</w:t>
      </w:r>
      <w:r>
        <w:t xml:space="preserve"> </w:t>
      </w:r>
      <w:r>
        <w:rPr>
          <w:vertAlign w:val="superscript"/>
        </w:rPr>
        <w:footnoteReference w:id="126"/>
      </w:r>
      <w:r>
        <w:t xml:space="preserve"> </w:t>
      </w:r>
      <w:r>
        <w:rPr>
          <w:vertAlign w:val="superscript"/>
        </w:rPr>
        <w:footnoteReference w:id="127"/>
      </w:r>
      <w:r>
        <w:t xml:space="preserve"> </w:t>
      </w:r>
      <w:fldSimple w:instr="NOTEREF _Ref_Footnote_49 \h \f">
        <w:r>
          <w:rPr>
            <w:vertAlign w:val="superscript"/>
          </w:rPr>
          <w:t>49</w:t>
        </w:r>
      </w:fldSimple>
      <w:r>
        <w:t xml:space="preserve"> </w:t>
      </w:r>
      <w:fldSimple w:instr="NOTEREF _Ref_Footnote_46 \h \f">
        <w:r>
          <w:rPr>
            <w:vertAlign w:val="superscript"/>
          </w:rPr>
          <w:t>46</w:t>
        </w:r>
      </w:fldSimple>
      <w:r>
        <w:t xml:space="preserve"> </w:t>
      </w:r>
      <w:fldSimple w:instr="NOTEREF _Ref_Footnote_66 \h \f">
        <w:r>
          <w:rPr>
            <w:vertAlign w:val="superscript"/>
          </w:rPr>
          <w:t>66</w:t>
        </w:r>
      </w:fldSimple>
      <w:r>
        <w:t xml:space="preserve">. This model complies with the letter of Article 13 — the data exists and is available to represented rightsholders — but fails its spirit by erecting a membership barrier that foreign creators often cannot surmount without intermediary assistance</w:t>
      </w:r>
      <w:r>
        <w:t xml:space="preserve"> </w:t>
      </w:r>
      <w:fldSimple w:instr="NOTEREF _Ref_Footnote_1 \h \f">
        <w:r>
          <w:rPr>
            <w:vertAlign w:val="superscript"/>
          </w:rPr>
          <w:t>1</w:t>
        </w:r>
      </w:fldSimple>
      <w:r>
        <w:t xml:space="preserve">.</w:t>
      </w:r>
    </w:p>
    <w:p>
      <w:pPr>
        <w:pStyle w:val="BodyText"/>
      </w:pPr>
      <w:r>
        <w:rPr>
          <w:bCs/>
          <w:b/>
        </w:rPr>
        <w:t xml:space="preserve">Table 1: Format Types Across All CMOs with Identifiable Registries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Format Category</w:t>
            </w:r>
          </w:p>
        </w:tc>
        <w:tc>
          <w:tcPr/>
          <w:p>
            <w:pPr>
              <w:pStyle w:val="Compact"/>
              <w:jc w:val="left"/>
            </w:pPr>
            <w:r>
              <w:t xml:space="preserve">CMOs</w:t>
            </w:r>
          </w:p>
        </w:tc>
        <w:tc>
          <w:tcPr/>
          <w:p>
            <w:pPr>
              <w:pStyle w:val="Compact"/>
              <w:jc w:val="left"/>
            </w:pPr>
            <w:r>
              <w:t xml:space="preserve">Examples</w:t>
            </w:r>
          </w:p>
        </w:tc>
        <w:tc>
          <w:tcPr/>
          <w:p>
            <w:pPr>
              <w:pStyle w:val="Compact"/>
              <w:jc w:val="left"/>
            </w:pPr>
            <w:r>
              <w:t xml:space="preserve">Public Access</w:t>
            </w:r>
          </w:p>
        </w:tc>
        <w:tc>
          <w:tcPr/>
          <w:p>
            <w:pPr>
              <w:pStyle w:val="Compact"/>
              <w:jc w:val="left"/>
            </w:pPr>
            <w:r>
              <w:t xml:space="preserve">Bulk Download</w:t>
            </w:r>
          </w:p>
        </w:tc>
        <w:tc>
          <w:tcPr/>
          <w:p>
            <w:pPr>
              <w:pStyle w:val="Compact"/>
              <w:jc w:val="left"/>
            </w:pPr>
            <w:r>
              <w:t xml:space="preserve">Suitability for Foreign Rightsholders</w:t>
            </w:r>
          </w:p>
        </w:tc>
      </w:tr>
      <w:tr>
        <w:tc>
          <w:tcPr/>
          <w:p>
            <w:pPr>
              <w:pStyle w:val="Compact"/>
              <w:jc w:val="left"/>
            </w:pPr>
            <w:r>
              <w:t xml:space="preserve">Interactive web search</w:t>
            </w:r>
          </w:p>
        </w:tc>
        <w:tc>
          <w:tcPr/>
          <w:p>
            <w:pPr>
              <w:pStyle w:val="Compact"/>
              <w:jc w:val="left"/>
            </w:pPr>
            <w:r>
              <w:t xml:space="preserve">5</w:t>
            </w:r>
          </w:p>
        </w:tc>
        <w:tc>
          <w:tcPr/>
          <w:p>
            <w:pPr>
              <w:pStyle w:val="Compact"/>
              <w:jc w:val="left"/>
            </w:pPr>
            <w:r>
              <w:t xml:space="preserve">SACEM, KODA, SPEDIDAM, ZAiKS, EAÜ</w:t>
            </w:r>
          </w:p>
        </w:tc>
        <w:tc>
          <w:tcPr/>
          <w:p>
            <w:pPr>
              <w:pStyle w:val="Compact"/>
              <w:jc w:val="left"/>
            </w:pPr>
            <w:r>
              <w:t xml:space="preserve">Yes</w:t>
            </w:r>
          </w:p>
        </w:tc>
        <w:tc>
          <w:tcPr/>
          <w:p>
            <w:pPr>
              <w:pStyle w:val="Compact"/>
              <w:jc w:val="left"/>
            </w:pPr>
            <w:r>
              <w:t xml:space="preserve">No</w:t>
            </w:r>
          </w:p>
        </w:tc>
        <w:tc>
          <w:tcPr/>
          <w:p>
            <w:pPr>
              <w:pStyle w:val="Compact"/>
              <w:jc w:val="left"/>
            </w:pPr>
            <w:r>
              <w:t xml:space="preserve">Moderate — immediate results but no batch processing</w:t>
            </w:r>
          </w:p>
        </w:tc>
      </w:tr>
      <w:tr>
        <w:tc>
          <w:tcPr/>
          <w:p>
            <w:pPr>
              <w:pStyle w:val="Compact"/>
              <w:jc w:val="left"/>
            </w:pPr>
            <w:r>
              <w:t xml:space="preserve">Excel download</w:t>
            </w:r>
          </w:p>
        </w:tc>
        <w:tc>
          <w:tcPr/>
          <w:p>
            <w:pPr>
              <w:pStyle w:val="Compact"/>
              <w:jc w:val="left"/>
            </w:pPr>
            <w:r>
              <w:t xml:space="preserve">5</w:t>
            </w:r>
          </w:p>
        </w:tc>
        <w:tc>
          <w:tcPr/>
          <w:p>
            <w:pPr>
              <w:pStyle w:val="Compact"/>
              <w:jc w:val="left"/>
            </w:pPr>
            <w:r>
              <w:t xml:space="preserve">Gramex, SOZA, HDS-ZAMP, STIM, INTERGRAM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High — sortable, searchable, offline analysis possible</w:t>
            </w:r>
          </w:p>
        </w:tc>
      </w:tr>
      <w:tr>
        <w:tc>
          <w:tcPr/>
          <w:p>
            <w:pPr>
              <w:pStyle w:val="Compact"/>
              <w:jc w:val="left"/>
            </w:pPr>
            <w:r>
              <w:t xml:space="preserve">PDF download</w:t>
            </w:r>
          </w:p>
        </w:tc>
        <w:tc>
          <w:tcPr/>
          <w:p>
            <w:pPr>
              <w:pStyle w:val="Compact"/>
              <w:jc w:val="left"/>
            </w:pPr>
            <w:r>
              <w:t xml:space="preserve">6</w:t>
            </w:r>
          </w:p>
        </w:tc>
        <w:tc>
          <w:tcPr/>
          <w:p>
            <w:pPr>
              <w:pStyle w:val="Compact"/>
              <w:jc w:val="left"/>
            </w:pPr>
            <w:r>
              <w:t xml:space="preserve">UCMR-ADA, PRS, SGAE, MUSICAUTOR, ARTISJUS, SLOVGRAM</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Low — fragmented, not machine-readable</w:t>
            </w:r>
          </w:p>
        </w:tc>
      </w:tr>
      <w:tr>
        <w:tc>
          <w:tcPr/>
          <w:p>
            <w:pPr>
              <w:pStyle w:val="Compact"/>
              <w:jc w:val="left"/>
            </w:pPr>
            <w:r>
              <w:t xml:space="preserve">Members-only portal</w:t>
            </w:r>
          </w:p>
        </w:tc>
        <w:tc>
          <w:tcPr/>
          <w:p>
            <w:pPr>
              <w:pStyle w:val="Compact"/>
              <w:jc w:val="left"/>
            </w:pPr>
            <w:r>
              <w:t xml:space="preserve">5</w:t>
            </w:r>
          </w:p>
        </w:tc>
        <w:tc>
          <w:tcPr/>
          <w:p>
            <w:pPr>
              <w:pStyle w:val="Compact"/>
              <w:jc w:val="left"/>
            </w:pPr>
            <w:r>
              <w:t xml:space="preserve">GEMA, SIAE, TEOSTO, OSA, ADAMI</w:t>
            </w:r>
          </w:p>
        </w:tc>
        <w:tc>
          <w:tcPr/>
          <w:p>
            <w:pPr>
              <w:pStyle w:val="Compact"/>
              <w:jc w:val="left"/>
            </w:pPr>
            <w:r>
              <w:t xml:space="preserve">No</w:t>
            </w:r>
          </w:p>
        </w:tc>
        <w:tc>
          <w:tcPr/>
          <w:p>
            <w:pPr>
              <w:pStyle w:val="Compact"/>
              <w:jc w:val="left"/>
            </w:pPr>
            <w:r>
              <w:t xml:space="preserve">Varies</w:t>
            </w:r>
          </w:p>
        </w:tc>
        <w:tc>
          <w:tcPr/>
          <w:p>
            <w:pPr>
              <w:pStyle w:val="Compact"/>
              <w:jc w:val="left"/>
            </w:pPr>
            <w:r>
              <w:t xml:space="preserve">Very low — membership barrier excludes most foreign creators</w:t>
            </w:r>
          </w:p>
        </w:tc>
      </w:tr>
      <w:tr>
        <w:tc>
          <w:tcPr/>
          <w:p>
            <w:pPr>
              <w:pStyle w:val="Compact"/>
              <w:jc w:val="left"/>
            </w:pPr>
            <w:r>
              <w:t xml:space="preserve">No registry found</w:t>
            </w:r>
          </w:p>
        </w:tc>
        <w:tc>
          <w:tcPr/>
          <w:p>
            <w:pPr>
              <w:pStyle w:val="Compact"/>
              <w:jc w:val="left"/>
            </w:pPr>
            <w:r>
              <w:t xml:space="preserve">~38</w:t>
            </w:r>
          </w:p>
        </w:tc>
        <w:tc>
          <w:tcPr/>
          <w:p>
            <w:pPr>
              <w:pStyle w:val="Compact"/>
              <w:jc w:val="left"/>
            </w:pPr>
            <w:r>
              <w:t xml:space="preserve">Incl. most AT, BE, PT, GR, CY, LU, MT CMOs</w:t>
            </w:r>
          </w:p>
        </w:tc>
        <w:tc>
          <w:tcPr/>
          <w:p>
            <w:pPr>
              <w:pStyle w:val="Compact"/>
              <w:jc w:val="left"/>
            </w:pPr>
            <w:r>
              <w:t xml:space="preserve">N/A</w:t>
            </w:r>
          </w:p>
        </w:tc>
        <w:tc>
          <w:tcPr/>
          <w:p>
            <w:pPr>
              <w:pStyle w:val="Compact"/>
              <w:jc w:val="left"/>
            </w:pPr>
            <w:r>
              <w:t xml:space="preserve">N/A</w:t>
            </w:r>
          </w:p>
        </w:tc>
        <w:tc>
          <w:tcPr/>
          <w:p>
            <w:pPr>
              <w:pStyle w:val="Compact"/>
              <w:jc w:val="left"/>
            </w:pPr>
            <w:r>
              <w:t xml:space="preserve">None — rightsholders cannot self-identify works</w:t>
            </w:r>
          </w:p>
        </w:tc>
      </w:tr>
    </w:tbl>
    <w:p>
      <w:pPr>
        <w:pStyle w:val="BodyText"/>
      </w:pPr>
      <w:r>
        <w:rPr>
          <w:iCs/>
          <w:i/>
        </w:rPr>
        <w:t xml:space="preserve">Source: Direct examination of 60+ CMO websites and portals, 2025–2026.</w:t>
      </w:r>
    </w:p>
    <w:p>
      <w:pPr>
        <w:pStyle w:val="BodyText"/>
      </w:pPr>
      <w:r>
        <w:t xml:space="preserve">The distribution among the 21 CMOs with identifiable registries is remarkably even: interactive web search (23.8%), Excel download (23.8%), PDF download (28.6%) and members-only portal (23.8%). The near-parity across categories underscores the absence of any dominant standard or industry consensus on how unidentified works data should be published.</w:t>
      </w:r>
    </w:p>
    <w:p>
      <w:pPr>
        <w:pStyle w:val="CaptionedFigure"/>
      </w:pPr>
      <w:r>
        <w:drawing>
          <wp:inline>
            <wp:extent cx="5334000" cy="4591965"/>
            <wp:effectExtent b="0" l="0" r="0" t="0"/>
            <wp:docPr descr="Format Distribution Pie Chart" title="" id="69" name="Picture"/>
            <a:graphic>
              <a:graphicData uri="http://schemas.openxmlformats.org/drawingml/2006/picture">
                <pic:pic>
                  <pic:nvPicPr>
                    <pic:cNvPr descr="cmo_registry_chart_format_distribution.png" id="70" name="Picture"/>
                    <pic:cNvPicPr>
                      <a:picLocks noChangeArrowheads="1" noChangeAspect="1"/>
                    </pic:cNvPicPr>
                  </pic:nvPicPr>
                  <pic:blipFill>
                    <a:blip r:embed="rId68"/>
                    <a:stretch>
                      <a:fillRect/>
                    </a:stretch>
                  </pic:blipFill>
                  <pic:spPr bwMode="auto">
                    <a:xfrm>
                      <a:off x="0" y="0"/>
                      <a:ext cx="5334000" cy="4591965"/>
                    </a:xfrm>
                    <a:prstGeom prst="rect">
                      <a:avLst/>
                    </a:prstGeom>
                    <a:noFill/>
                    <a:ln w="9525">
                      <a:noFill/>
                      <a:headEnd/>
                      <a:tailEnd/>
                    </a:ln>
                  </pic:spPr>
                </pic:pic>
              </a:graphicData>
            </a:graphic>
          </wp:inline>
        </w:drawing>
      </w:r>
    </w:p>
    <w:p>
      <w:pPr>
        <w:pStyle w:val="ImageCaption"/>
      </w:pPr>
      <w:r>
        <w:t xml:space="preserve">Format Distribution Pie Chart</w:t>
      </w:r>
    </w:p>
    <w:p>
      <w:pPr>
        <w:pStyle w:val="BodyText"/>
      </w:pPr>
      <w:r>
        <w:rPr>
          <w:iCs/>
          <w:i/>
        </w:rPr>
        <w:t xml:space="preserve">Figure 1: Distribution of registry formats among 21 European CMOs with identifiable unidentified works registries. An additional ~38 CMOs had no discoverable public registry at the time of research.</w:t>
      </w:r>
    </w:p>
    <w:p>
      <w:pPr>
        <w:pStyle w:val="BodyText"/>
      </w:pPr>
      <w:r>
        <w:t xml:space="preserve">The figure reveals that PDF downloads — the least machine-readable of the four formats — represent the single largest share (28.6%). This is analytically significant because PDFs frustrate automated matching workflows: a publisher seeking to cross-reference 10,000 titles against UCMR-ADA’s 80-plus monthly PDFs would need to manually open each document or invest in document-parsing infrastructure. By contrast, the combined share of machine-readable formats (interactive web plus Excel) reaches 47.6%, a positive but insufficient ratio given that the remaining 52.4% of publishing CMOs either lock data behind member logins or publish in flat document formats.</w:t>
      </w:r>
    </w:p>
    <w:bookmarkEnd w:id="71"/>
    <w:bookmarkStart w:id="72" w:name="best-practice-feature-benchmarking"/>
    <w:p>
      <w:pPr>
        <w:pStyle w:val="Heading3"/>
      </w:pPr>
      <w:r>
        <w:t xml:space="preserve">4.2 Best-Practice Feature Benchmarking</w:t>
      </w:r>
    </w:p>
    <w:p>
      <w:pPr>
        <w:pStyle w:val="FirstParagraph"/>
      </w:pPr>
      <w:r>
        <w:t xml:space="preserve">Within the subset of CMOs that do publish registries, feature depth varies by an order of magnitude. To capture this variation, ten registries were evaluated against six functional criteria: interactive search capability, search fields offered, machine-readable export, bilingual interface, integrated claim process and update frequency. The resulting matrix exposes a two-tier landscape in which a handful of CMOs approach genuine best practice while the majority offer only bare-minimum compliance.</w:t>
      </w:r>
    </w:p>
    <w:p>
      <w:pPr>
        <w:pStyle w:val="BodyText"/>
      </w:pPr>
      <w:r>
        <w:rPr>
          <w:bCs/>
          <w:b/>
        </w:rPr>
        <w:t xml:space="preserve">Table 2: Feature Matrix — Top 10 CMO Unidentified Works Registries</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Feature</w:t>
            </w:r>
          </w:p>
        </w:tc>
        <w:tc>
          <w:tcPr/>
          <w:p>
            <w:pPr>
              <w:pStyle w:val="Compact"/>
              <w:jc w:val="left"/>
            </w:pPr>
            <w:r>
              <w:t xml:space="preserve">SACEM (FR)</w:t>
            </w:r>
          </w:p>
        </w:tc>
        <w:tc>
          <w:tcPr/>
          <w:p>
            <w:pPr>
              <w:pStyle w:val="Compact"/>
              <w:jc w:val="left"/>
            </w:pPr>
            <w:r>
              <w:t xml:space="preserve">ZAiKS (PL)</w:t>
            </w:r>
          </w:p>
        </w:tc>
        <w:tc>
          <w:tcPr/>
          <w:p>
            <w:pPr>
              <w:pStyle w:val="Compact"/>
              <w:jc w:val="left"/>
            </w:pPr>
            <w:r>
              <w:t xml:space="preserve">KODA (DK)</w:t>
            </w:r>
          </w:p>
        </w:tc>
        <w:tc>
          <w:tcPr/>
          <w:p>
            <w:pPr>
              <w:pStyle w:val="Compact"/>
              <w:jc w:val="left"/>
            </w:pPr>
            <w:r>
              <w:t xml:space="preserve">PRS (UK)</w:t>
            </w:r>
          </w:p>
        </w:tc>
        <w:tc>
          <w:tcPr/>
          <w:p>
            <w:pPr>
              <w:pStyle w:val="Compact"/>
              <w:jc w:val="left"/>
            </w:pPr>
            <w:r>
              <w:t xml:space="preserve">SOZA (SK)</w:t>
            </w:r>
          </w:p>
        </w:tc>
        <w:tc>
          <w:tcPr/>
          <w:p>
            <w:pPr>
              <w:pStyle w:val="Compact"/>
              <w:jc w:val="left"/>
            </w:pPr>
            <w:r>
              <w:t xml:space="preserve">UCMR-ADA (RO)</w:t>
            </w:r>
          </w:p>
        </w:tc>
        <w:tc>
          <w:tcPr/>
          <w:p>
            <w:pPr>
              <w:pStyle w:val="Compact"/>
              <w:jc w:val="left"/>
            </w:pPr>
            <w:r>
              <w:t xml:space="preserve">HDS-ZAMP (HR)</w:t>
            </w:r>
          </w:p>
        </w:tc>
        <w:tc>
          <w:tcPr/>
          <w:p>
            <w:pPr>
              <w:pStyle w:val="Compact"/>
              <w:jc w:val="left"/>
            </w:pPr>
            <w:r>
              <w:t xml:space="preserve">STIM (SE)</w:t>
            </w:r>
          </w:p>
        </w:tc>
        <w:tc>
          <w:tcPr/>
          <w:p>
            <w:pPr>
              <w:pStyle w:val="Compact"/>
              <w:jc w:val="left"/>
            </w:pPr>
            <w:r>
              <w:t xml:space="preserve">Gramex (FI)</w:t>
            </w:r>
          </w:p>
        </w:tc>
        <w:tc>
          <w:tcPr/>
          <w:p>
            <w:pPr>
              <w:pStyle w:val="Compact"/>
              <w:jc w:val="left"/>
            </w:pPr>
            <w:r>
              <w:t xml:space="preserve">EAÜ (EE)</w:t>
            </w:r>
          </w:p>
        </w:tc>
      </w:tr>
      <w:tr>
        <w:tc>
          <w:tcPr/>
          <w:p>
            <w:pPr>
              <w:pStyle w:val="Compact"/>
              <w:jc w:val="left"/>
            </w:pPr>
            <w:r>
              <w:t xml:space="preserve">Public access (no login)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Interactive web search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Search by work title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Search by creator name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Advanced filters (year, medium, value)</w:t>
            </w:r>
          </w:p>
        </w:tc>
        <w:tc>
          <w:tcPr/>
          <w:p>
            <w:pPr>
              <w:pStyle w:val="Compact"/>
              <w:jc w:val="left"/>
            </w:pPr>
            <w:r>
              <w:t xml:space="preserve">Sort only</w:t>
            </w:r>
          </w:p>
        </w:tc>
        <w:tc>
          <w:tcPr/>
          <w:p>
            <w:pPr>
              <w:pStyle w:val="Compact"/>
              <w:jc w:val="left"/>
            </w:pPr>
            <w:r>
              <w:t xml:space="preserve">Year + medium</w:t>
            </w:r>
            <w:r>
              <w:t xml:space="preserve"> </w:t>
            </w:r>
            <w:fldSimple w:instr="NOTEREF _Ref_Footnote_122 \h \f">
              <w:r>
                <w:rPr>
                  <w:vertAlign w:val="superscript"/>
                </w:rPr>
                <w:t>122</w:t>
              </w:r>
            </w:fldSimple>
          </w:p>
        </w:tc>
        <w:tc>
          <w:tcPr/>
          <w:p>
            <w:pPr>
              <w:pStyle w:val="Compact"/>
              <w:jc w:val="left"/>
            </w:pPr>
            <w:r>
              <w:t xml:space="preserve">Amount range</w:t>
            </w:r>
            <w:r>
              <w:t xml:space="preserve"> </w:t>
            </w:r>
            <w:fldSimple w:instr="NOTEREF _Ref_Footnote_85 \h \f">
              <w:r>
                <w:rPr>
                  <w:vertAlign w:val="superscript"/>
                </w:rPr>
                <w:t>85</w:t>
              </w:r>
            </w:fldSimple>
          </w:p>
        </w:tc>
        <w:tc>
          <w:tcPr/>
          <w:p>
            <w:pPr>
              <w:pStyle w:val="Compact"/>
              <w:jc w:val="left"/>
            </w:pPr>
            <w:r>
              <w:t xml:space="preserve">Value band</w:t>
            </w:r>
            <w:r>
              <w:t xml:space="preserve"> </w:t>
            </w:r>
            <w:fldSimple w:instr="NOTEREF _Ref_Footnote_61 \h \f">
              <w:r>
                <w:rPr>
                  <w:vertAlign w:val="superscript"/>
                </w:rPr>
                <w:t>61</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Domestic/foreign split</w:t>
            </w:r>
            <w:r>
              <w:t xml:space="preserve"> </w:t>
            </w:r>
            <w:fldSimple w:instr="NOTEREF _Ref_Footnote_124 \h \f">
              <w:r>
                <w:rPr>
                  <w:vertAlign w:val="superscript"/>
                </w:rPr>
                <w:t>124</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Excel/CSV export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r>
              <w:t xml:space="preserve"> </w:t>
            </w:r>
            <w:fldSimple w:instr="NOTEREF _Ref_Footnote_85 \h \f">
              <w:r>
                <w:rPr>
                  <w:vertAlign w:val="superscript"/>
                </w:rPr>
                <w:t>85</w:t>
              </w:r>
            </w:fldSimple>
          </w:p>
        </w:tc>
        <w:tc>
          <w:tcPr/>
          <w:p>
            <w:pPr>
              <w:pStyle w:val="Compact"/>
              <w:jc w:val="left"/>
            </w:pPr>
            <w:r>
              <w:t xml:space="preserve">No</w:t>
            </w:r>
          </w:p>
        </w:tc>
        <w:tc>
          <w:tcPr/>
          <w:p>
            <w:pPr>
              <w:pStyle w:val="Compact"/>
              <w:jc w:val="left"/>
            </w:pPr>
            <w:r>
              <w:t xml:space="preserve">Yes</w:t>
            </w:r>
            <w:r>
              <w:t xml:space="preserve"> </w:t>
            </w:r>
            <w:fldSimple w:instr="NOTEREF _Ref_Footnote_90 \h \f">
              <w:r>
                <w:rPr>
                  <w:vertAlign w:val="superscript"/>
                </w:rPr>
                <w:t>90</w:t>
              </w:r>
            </w:fldSimple>
          </w:p>
        </w:tc>
        <w:tc>
          <w:tcPr/>
          <w:p>
            <w:pPr>
              <w:pStyle w:val="Compact"/>
              <w:jc w:val="left"/>
            </w:pPr>
            <w:r>
              <w:t xml:space="preserve">No</w:t>
            </w:r>
          </w:p>
        </w:tc>
        <w:tc>
          <w:tcPr/>
          <w:p>
            <w:pPr>
              <w:pStyle w:val="Compact"/>
              <w:jc w:val="left"/>
            </w:pPr>
            <w:r>
              <w:t xml:space="preserve">Yes</w:t>
            </w:r>
            <w:r>
              <w:t xml:space="preserve"> </w:t>
            </w:r>
            <w:fldSimple w:instr="NOTEREF _Ref_Footnote_124 \h \f">
              <w:r>
                <w:rPr>
                  <w:vertAlign w:val="superscript"/>
                </w:rPr>
                <w:t>124</w:t>
              </w:r>
            </w:fldSimple>
          </w:p>
        </w:tc>
        <w:tc>
          <w:tcPr/>
          <w:p>
            <w:pPr>
              <w:pStyle w:val="Compact"/>
              <w:jc w:val="left"/>
            </w:pPr>
            <w:r>
              <w:t xml:space="preserve">Yes</w:t>
            </w:r>
            <w:r>
              <w:t xml:space="preserve"> </w:t>
            </w:r>
            <w:fldSimple w:instr="NOTEREF _Ref_Footnote_42 \h \f">
              <w:r>
                <w:rPr>
                  <w:vertAlign w:val="superscript"/>
                </w:rPr>
                <w:t>42</w:t>
              </w:r>
            </w:fldSimple>
          </w:p>
        </w:tc>
        <w:tc>
          <w:tcPr/>
          <w:p>
            <w:pPr>
              <w:pStyle w:val="Compact"/>
              <w:jc w:val="left"/>
            </w:pPr>
            <w:r>
              <w:t xml:space="preserve">Yes (.xlsx)</w:t>
            </w:r>
            <w:r>
              <w:t xml:space="preserve"> </w:t>
            </w:r>
            <w:fldSimple w:instr="NOTEREF _Ref_Footnote_123 \h \f">
              <w:r>
                <w:rPr>
                  <w:vertAlign w:val="superscript"/>
                </w:rPr>
                <w:t>123</w:t>
              </w:r>
            </w:fldSimple>
          </w:p>
        </w:tc>
        <w:tc>
          <w:tcPr/>
          <w:p>
            <w:pPr>
              <w:pStyle w:val="Compact"/>
              <w:jc w:val="left"/>
            </w:pPr>
            <w:r>
              <w:t xml:space="preserve">Yes (CSV)</w:t>
            </w:r>
            <w:r>
              <w:t xml:space="preserve"> </w:t>
            </w:r>
            <w:fldSimple w:instr="NOTEREF _Ref_Footnote_48 \h \f">
              <w:r>
                <w:rPr>
                  <w:vertAlign w:val="superscript"/>
                </w:rPr>
                <w:t>48</w:t>
              </w:r>
            </w:fldSimple>
          </w:p>
        </w:tc>
      </w:tr>
      <w:tr>
        <w:tc>
          <w:tcPr/>
          <w:p>
            <w:pPr>
              <w:pStyle w:val="Compact"/>
              <w:jc w:val="left"/>
            </w:pPr>
            <w:r>
              <w:t xml:space="preserve">Bilingual interface (local + EN)</w:t>
            </w:r>
          </w:p>
        </w:tc>
        <w:tc>
          <w:tcPr/>
          <w:p>
            <w:pPr>
              <w:pStyle w:val="Compact"/>
              <w:jc w:val="left"/>
            </w:pPr>
            <w:r>
              <w:t xml:space="preserve">Yes</w:t>
            </w:r>
            <w:r>
              <w:t xml:space="preserve"> </w:t>
            </w:r>
            <w:fldSimple w:instr="NOTEREF _Ref_Footnote_17 \h \f">
              <w:r>
                <w:rPr>
                  <w:vertAlign w:val="superscript"/>
                </w:rPr>
                <w:t>17</w:t>
              </w:r>
            </w:fldSimple>
          </w:p>
        </w:tc>
        <w:tc>
          <w:tcPr/>
          <w:p>
            <w:pPr>
              <w:pStyle w:val="Compact"/>
              <w:jc w:val="left"/>
            </w:pPr>
            <w:r>
              <w:t xml:space="preserve">Yes</w:t>
            </w:r>
            <w:r>
              <w:t xml:space="preserve"> </w:t>
            </w:r>
            <w:fldSimple w:instr="NOTEREF _Ref_Footnote_122 \h \f">
              <w:r>
                <w:rPr>
                  <w:vertAlign w:val="superscript"/>
                </w:rPr>
                <w:t>122</w:t>
              </w:r>
            </w:fldSimple>
          </w:p>
        </w:tc>
        <w:tc>
          <w:tcPr/>
          <w:p>
            <w:pPr>
              <w:pStyle w:val="Compact"/>
              <w:jc w:val="left"/>
            </w:pPr>
            <w:r>
              <w:t xml:space="preserve">Partial</w:t>
            </w:r>
          </w:p>
        </w:tc>
        <w:tc>
          <w:tcPr/>
          <w:p>
            <w:pPr>
              <w:pStyle w:val="Compact"/>
              <w:jc w:val="left"/>
            </w:pPr>
            <w:r>
              <w:t xml:space="preserve">Yes (native)</w:t>
            </w:r>
          </w:p>
        </w:tc>
        <w:tc>
          <w:tcPr/>
          <w:p>
            <w:pPr>
              <w:pStyle w:val="Compact"/>
              <w:jc w:val="left"/>
            </w:pPr>
            <w:r>
              <w:t xml:space="preserve">No</w:t>
            </w:r>
          </w:p>
        </w:tc>
        <w:tc>
          <w:tcPr/>
          <w:p>
            <w:pPr>
              <w:pStyle w:val="Compact"/>
              <w:jc w:val="left"/>
            </w:pPr>
            <w:r>
              <w:t xml:space="preserve">Partial (website only)</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Yes</w:t>
            </w:r>
            <w:r>
              <w:t xml:space="preserve"> </w:t>
            </w:r>
            <w:fldSimple w:instr="NOTEREF _Ref_Footnote_123 \h \f">
              <w:r>
                <w:rPr>
                  <w:vertAlign w:val="superscript"/>
                </w:rPr>
                <w:t>123</w:t>
              </w:r>
            </w:fldSimple>
          </w:p>
        </w:tc>
        <w:tc>
          <w:tcPr/>
          <w:p>
            <w:pPr>
              <w:pStyle w:val="Compact"/>
              <w:jc w:val="left"/>
            </w:pPr>
            <w:r>
              <w:t xml:space="preserve">Yes</w:t>
            </w:r>
            <w:r>
              <w:t xml:space="preserve"> </w:t>
            </w:r>
            <w:fldSimple w:instr="NOTEREF _Ref_Footnote_48 \h \f">
              <w:r>
                <w:rPr>
                  <w:vertAlign w:val="superscript"/>
                </w:rPr>
                <w:t>48</w:t>
              </w:r>
            </w:fldSimple>
          </w:p>
        </w:tc>
      </w:tr>
      <w:tr>
        <w:tc>
          <w:tcPr/>
          <w:p>
            <w:pPr>
              <w:pStyle w:val="Compact"/>
              <w:jc w:val="left"/>
            </w:pPr>
            <w:r>
              <w:t xml:space="preserve">Integrated claim button</w:t>
            </w:r>
          </w:p>
        </w:tc>
        <w:tc>
          <w:tcPr/>
          <w:p>
            <w:pPr>
              <w:pStyle w:val="Compact"/>
              <w:jc w:val="left"/>
            </w:pPr>
            <w:r>
              <w:t xml:space="preserve">Yes</w:t>
            </w:r>
            <w:r>
              <w:t xml:space="preserve"> </w:t>
            </w:r>
            <w:fldSimple w:instr="NOTEREF _Ref_Footnote_17 \h \f">
              <w:r>
                <w:rPr>
                  <w:vertAlign w:val="superscript"/>
                </w:rPr>
                <w:t>17</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(form)</w:t>
            </w:r>
            <w:r>
              <w:t xml:space="preserve"> </w:t>
            </w:r>
            <w:fldSimple w:instr="NOTEREF _Ref_Footnote_90 \h \f">
              <w:r>
                <w:rPr>
                  <w:vertAlign w:val="superscript"/>
                </w:rPr>
                <w:t>90</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Quarterly or better updates</w:t>
            </w:r>
          </w:p>
        </w:tc>
        <w:tc>
          <w:tcPr/>
          <w:p>
            <w:pPr>
              <w:pStyle w:val="Compact"/>
              <w:jc w:val="left"/>
            </w:pPr>
            <w:r>
              <w:t xml:space="preserve">No</w:t>
            </w:r>
          </w:p>
        </w:tc>
        <w:tc>
          <w:tcPr/>
          <w:p>
            <w:pPr>
              <w:pStyle w:val="Compact"/>
              <w:jc w:val="left"/>
            </w:pPr>
            <w:r>
              <w:t xml:space="preserve">Ongoing</w:t>
            </w:r>
          </w:p>
        </w:tc>
        <w:tc>
          <w:tcPr/>
          <w:p>
            <w:pPr>
              <w:pStyle w:val="Compact"/>
              <w:jc w:val="left"/>
            </w:pPr>
            <w:r>
              <w:t xml:space="preserve">Quarterly</w:t>
            </w:r>
          </w:p>
        </w:tc>
        <w:tc>
          <w:tcPr/>
          <w:p>
            <w:pPr>
              <w:pStyle w:val="Compact"/>
              <w:jc w:val="left"/>
            </w:pPr>
            <w:r>
              <w:t xml:space="preserve">Quarterly</w:t>
            </w:r>
            <w:r>
              <w:t xml:space="preserve"> </w:t>
            </w:r>
            <w:fldSimple w:instr="NOTEREF _Ref_Footnote_61 \h \f">
              <w:r>
                <w:rPr>
                  <w:vertAlign w:val="superscript"/>
                </w:rPr>
                <w:t>61</w:t>
              </w:r>
            </w:fldSimple>
          </w:p>
        </w:tc>
        <w:tc>
          <w:tcPr/>
          <w:p>
            <w:pPr>
              <w:pStyle w:val="Compact"/>
              <w:jc w:val="left"/>
            </w:pPr>
            <w:r>
              <w:t xml:space="preserve">Annual snapshot</w:t>
            </w:r>
          </w:p>
        </w:tc>
        <w:tc>
          <w:tcPr/>
          <w:p>
            <w:pPr>
              <w:pStyle w:val="Compact"/>
              <w:jc w:val="left"/>
            </w:pPr>
            <w:r>
              <w:t xml:space="preserve">Monthly</w:t>
            </w:r>
            <w:r>
              <w:t xml:space="preserve"> </w:t>
            </w:r>
            <w:fldSimple w:instr="NOTEREF _Ref_Footnote_3 \h \f">
              <w:r>
                <w:rPr>
                  <w:vertAlign w:val="superscript"/>
                </w:rPr>
                <w:t>3</w:t>
              </w:r>
            </w:fldSimple>
          </w:p>
        </w:tc>
        <w:tc>
          <w:tcPr/>
          <w:p>
            <w:pPr>
              <w:pStyle w:val="Compact"/>
              <w:jc w:val="left"/>
            </w:pPr>
            <w:r>
              <w:t xml:space="preserve">No</w:t>
            </w:r>
          </w:p>
        </w:tc>
        <w:tc>
          <w:tcPr/>
          <w:p>
            <w:pPr>
              <w:pStyle w:val="Compact"/>
              <w:jc w:val="left"/>
            </w:pPr>
            <w:r>
              <w:t xml:space="preserve">Quarterly</w:t>
            </w:r>
            <w:r>
              <w:t xml:space="preserve"> </w:t>
            </w:r>
            <w:fldSimple w:instr="NOTEREF _Ref_Footnote_42 \h \f">
              <w:r>
                <w:rPr>
                  <w:vertAlign w:val="superscript"/>
                </w:rPr>
                <w:t>42</w:t>
              </w:r>
            </w:fldSimple>
          </w:p>
        </w:tc>
        <w:tc>
          <w:tcPr/>
          <w:p>
            <w:pPr>
              <w:pStyle w:val="Compact"/>
              <w:jc w:val="left"/>
            </w:pPr>
            <w:r>
              <w:t xml:space="preserve">Monthly-ish</w:t>
            </w:r>
          </w:p>
        </w:tc>
        <w:tc>
          <w:tcPr/>
          <w:p>
            <w:pPr>
              <w:pStyle w:val="Compact"/>
              <w:jc w:val="left"/>
            </w:pPr>
            <w:r>
              <w:t xml:space="preserve">Unknown</w:t>
            </w:r>
          </w:p>
        </w:tc>
      </w:tr>
      <w:tr>
        <w:tc>
          <w:tcPr/>
          <w:p>
            <w:pPr>
              <w:pStyle w:val="Compact"/>
              <w:jc w:val="left"/>
            </w:pPr>
            <w:r>
              <w:t xml:space="preserve">Historical archive (3+ years)</w:t>
            </w:r>
          </w:p>
        </w:tc>
        <w:tc>
          <w:tcPr/>
          <w:p>
            <w:pPr>
              <w:pStyle w:val="Compact"/>
              <w:jc w:val="left"/>
            </w:pPr>
            <w:r>
              <w:t xml:space="preserve">No</w:t>
            </w:r>
          </w:p>
        </w:tc>
        <w:tc>
          <w:tcPr/>
          <w:p>
            <w:pPr>
              <w:pStyle w:val="Compact"/>
              <w:jc w:val="left"/>
            </w:pPr>
            <w:r>
              <w:t xml:space="preserve">No</w:t>
            </w:r>
          </w:p>
        </w:tc>
        <w:tc>
          <w:tcPr/>
          <w:p>
            <w:pPr>
              <w:pStyle w:val="Compact"/>
              <w:jc w:val="left"/>
            </w:pPr>
            <w:r>
              <w:t xml:space="preserve">Q2 2022–Q4 2024</w:t>
            </w:r>
          </w:p>
        </w:tc>
        <w:tc>
          <w:tcPr/>
          <w:p>
            <w:pPr>
              <w:pStyle w:val="Compact"/>
              <w:jc w:val="left"/>
            </w:pPr>
            <w:r>
              <w:t xml:space="preserve">No</w:t>
            </w:r>
          </w:p>
        </w:tc>
        <w:tc>
          <w:tcPr/>
          <w:p>
            <w:pPr>
              <w:pStyle w:val="Compact"/>
              <w:jc w:val="left"/>
            </w:pPr>
            <w:r>
              <w:t xml:space="preserve">3 years</w:t>
            </w:r>
            <w:r>
              <w:t xml:space="preserve"> </w:t>
            </w:r>
            <w:fldSimple w:instr="NOTEREF _Ref_Footnote_90 \h \f">
              <w:r>
                <w:rPr>
                  <w:vertAlign w:val="superscript"/>
                </w:rPr>
                <w:t>90</w:t>
              </w:r>
            </w:fldSimple>
          </w:p>
        </w:tc>
        <w:tc>
          <w:tcPr/>
          <w:p>
            <w:pPr>
              <w:pStyle w:val="Compact"/>
              <w:jc w:val="left"/>
            </w:pPr>
            <w:r>
              <w:t xml:space="preserve">8+ years</w:t>
            </w:r>
            <w:r>
              <w:t xml:space="preserve"> </w:t>
            </w:r>
            <w:fldSimple w:instr="NOTEREF _Ref_Footnote_3 \h \f">
              <w:r>
                <w:rPr>
                  <w:vertAlign w:val="superscript"/>
                </w:rPr>
                <w:t>3</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pPr>
        <w:pStyle w:val="BodyText"/>
      </w:pPr>
      <w:r>
        <w:rPr>
          <w:iCs/>
          <w:i/>
        </w:rPr>
        <w:t xml:space="preserve">Source: Direct browser examination of 10 CMO registry interfaces, 2025–2026.</w:t>
      </w:r>
      <w:r>
        <w:rPr>
          <w:iCs/>
          <w:i/>
        </w:rPr>
        <w:t xml:space="preserve"> </w:t>
      </w:r>
      <w:r>
        <w:rPr>
          <w:iCs/>
          <w:i/>
        </w:rPr>
        <w:t xml:space="preserve">“</w:t>
      </w:r>
      <w:r>
        <w:rPr>
          <w:iCs/>
          <w:i/>
        </w:rPr>
        <w:t xml:space="preserve">Yes</w:t>
      </w:r>
      <w:r>
        <w:rPr>
          <w:iCs/>
          <w:i/>
        </w:rPr>
        <w:t xml:space="preserve">”</w:t>
      </w:r>
      <w:r>
        <w:rPr>
          <w:iCs/>
          <w:i/>
        </w:rPr>
        <w:t xml:space="preserve"> </w:t>
      </w:r>
      <w:r>
        <w:rPr>
          <w:iCs/>
          <w:i/>
        </w:rPr>
        <w:t xml:space="preserve">indicates confirmed presence;</w:t>
      </w:r>
      <w:r>
        <w:rPr>
          <w:iCs/>
          <w:i/>
        </w:rPr>
        <w:t xml:space="preserve"> </w:t>
      </w:r>
      <w:r>
        <w:rPr>
          <w:iCs/>
          <w:i/>
        </w:rPr>
        <w:t xml:space="preserve">“</w:t>
      </w:r>
      <w:r>
        <w:rPr>
          <w:iCs/>
          <w:i/>
        </w:rPr>
        <w:t xml:space="preserve">No</w:t>
      </w:r>
      <w:r>
        <w:rPr>
          <w:iCs/>
          <w:i/>
        </w:rPr>
        <w:t xml:space="preserve">”</w:t>
      </w:r>
      <w:r>
        <w:rPr>
          <w:iCs/>
          <w:i/>
        </w:rPr>
        <w:t xml:space="preserve"> </w:t>
      </w:r>
      <w:r>
        <w:rPr>
          <w:iCs/>
          <w:i/>
        </w:rPr>
        <w:t xml:space="preserve">indicates confirmed absence or non-identification.</w:t>
      </w:r>
    </w:p>
    <w:p>
      <w:pPr>
        <w:pStyle w:val="BodyText"/>
      </w:pPr>
      <w:r>
        <w:t xml:space="preserve">The matrix yields a composite best-practice profile against which every other registry can be measured. Five pillars emerge as the defining attributes of a substantively compliant — rather than merely formally compliant — unidentified works registry.</w:t>
      </w:r>
    </w:p>
    <w:p>
      <w:pPr>
        <w:pStyle w:val="BodyText"/>
      </w:pPr>
      <w:r>
        <w:rPr>
          <w:bCs/>
          <w:b/>
        </w:rPr>
        <w:t xml:space="preserve">Pillar 1: Unconditional public access.</w:t>
      </w:r>
      <w:r>
        <w:t xml:space="preserve"> </w:t>
      </w:r>
      <w:r>
        <w:t xml:space="preserve">All ten CMOs in the matrix meet this threshold, yet among the broader population of ~60 CMOs, members-only restrictions are common — particularly at large societies such as GEMA and SIAE</w:t>
      </w:r>
      <w:r>
        <w:t xml:space="preserve"> </w:t>
      </w:r>
      <w:fldSimple w:instr="NOTEREF _Ref_Footnote_126 \h \f">
        <w:r>
          <w:rPr>
            <w:vertAlign w:val="superscript"/>
          </w:rPr>
          <w:t>126</w:t>
        </w:r>
      </w:fldSimple>
      <w:r>
        <w:t xml:space="preserve"> </w:t>
      </w:r>
      <w:fldSimple w:instr="NOTEREF _Ref_Footnote_127 \h \f">
        <w:r>
          <w:rPr>
            <w:vertAlign w:val="superscript"/>
          </w:rPr>
          <w:t>127</w:t>
        </w:r>
      </w:fldSimple>
      <w:r>
        <w:t xml:space="preserve">. Article 13 mandates publication</w:t>
      </w:r>
      <w:r>
        <w:t xml:space="preserve"> </w:t>
      </w:r>
      <w:r>
        <w:t xml:space="preserve">“</w:t>
      </w:r>
      <w:r>
        <w:t xml:space="preserve">to the public</w:t>
      </w:r>
      <w:r>
        <w:t xml:space="preserve">”</w:t>
      </w:r>
      <w:r>
        <w:t xml:space="preserve"> </w:t>
      </w:r>
      <w:r>
        <w:t xml:space="preserve">without qualifying the audience</w:t>
      </w:r>
      <w:r>
        <w:t xml:space="preserve"> </w:t>
      </w:r>
      <w:r>
        <w:rPr>
          <w:vertAlign w:val="superscript"/>
        </w:rPr>
        <w:footnoteReference w:id="128"/>
      </w:r>
      <w:r>
        <w:t xml:space="preserve">, making membership barriers a departure from the Directive’s intent.</w:t>
      </w:r>
    </w:p>
    <w:p>
      <w:pPr>
        <w:pStyle w:val="BodyText"/>
      </w:pPr>
      <w:r>
        <w:rPr>
          <w:bCs/>
          <w:b/>
        </w:rPr>
        <w:t xml:space="preserve">Pillar 2: Multi-dimensional search.</w:t>
      </w:r>
      <w:r>
        <w:t xml:space="preserve"> </w:t>
      </w:r>
      <w:r>
        <w:t xml:space="preserve">Best-practice registries permit searching by at least work title and creator name. ZAiKS adds filters by year of use and distribution channel, enabling creators to narrow 50,000-plus entries to a manageable subset</w:t>
      </w:r>
      <w:r>
        <w:t xml:space="preserve"> </w:t>
      </w:r>
      <w:fldSimple w:instr="NOTEREF _Ref_Footnote_122 \h \f">
        <w:r>
          <w:rPr>
            <w:vertAlign w:val="superscript"/>
          </w:rPr>
          <w:t>122</w:t>
        </w:r>
      </w:fldSimple>
      <w:r>
        <w:t xml:space="preserve">. HDS-ZAMP’s three-way domestic, foreign and unregistered categorisation acknowledges that different identification strategies apply by work origin</w:t>
      </w:r>
      <w:r>
        <w:t xml:space="preserve"> </w:t>
      </w:r>
      <w:fldSimple w:instr="NOTEREF _Ref_Footnote_124 \h \f">
        <w:r>
          <w:rPr>
            <w:vertAlign w:val="superscript"/>
          </w:rPr>
          <w:t>124</w:t>
        </w:r>
      </w:fldSimple>
      <w:r>
        <w:t xml:space="preserve">. No European registry, however, permits searching by standard identifiers such as ISWC or ISRC.</w:t>
      </w:r>
    </w:p>
    <w:p>
      <w:pPr>
        <w:pStyle w:val="BodyText"/>
      </w:pPr>
      <w:r>
        <w:rPr>
          <w:bCs/>
          <w:b/>
        </w:rPr>
        <w:t xml:space="preserve">Pillar 3: Machine-readable export.</w:t>
      </w:r>
      <w:r>
        <w:t xml:space="preserve"> </w:t>
      </w:r>
      <w:r>
        <w:t xml:space="preserve">KODA, SOZA, HDS-ZAMP, STIM, Gramex and EAÜ each offer Excel or CSV downloads</w:t>
      </w:r>
      <w:r>
        <w:t xml:space="preserve"> </w:t>
      </w:r>
      <w:fldSimple w:instr="NOTEREF _Ref_Footnote_85 \h \f">
        <w:r>
          <w:rPr>
            <w:vertAlign w:val="superscript"/>
          </w:rPr>
          <w:t>85</w:t>
        </w:r>
      </w:fldSimple>
      <w:r>
        <w:t xml:space="preserve"> </w:t>
      </w:r>
      <w:fldSimple w:instr="NOTEREF _Ref_Footnote_90 \h \f">
        <w:r>
          <w:rPr>
            <w:vertAlign w:val="superscript"/>
          </w:rPr>
          <w:t>90</w:t>
        </w:r>
      </w:fldSimple>
      <w:r>
        <w:t xml:space="preserve"> </w:t>
      </w:r>
      <w:fldSimple w:instr="NOTEREF _Ref_Footnote_124 \h \f">
        <w:r>
          <w:rPr>
            <w:vertAlign w:val="superscript"/>
          </w:rPr>
          <w:t>124</w:t>
        </w:r>
      </w:fldSimple>
      <w:r>
        <w:t xml:space="preserve"> </w:t>
      </w:r>
      <w:fldSimple w:instr="NOTEREF _Ref_Footnote_42 \h \f">
        <w:r>
          <w:rPr>
            <w:vertAlign w:val="superscript"/>
          </w:rPr>
          <w:t>42</w:t>
        </w:r>
      </w:fldSimple>
      <w:r>
        <w:t xml:space="preserve"> </w:t>
      </w:r>
      <w:fldSimple w:instr="NOTEREF _Ref_Footnote_123 \h \f">
        <w:r>
          <w:rPr>
            <w:vertAlign w:val="superscript"/>
          </w:rPr>
          <w:t>123</w:t>
        </w:r>
      </w:fldSimple>
      <w:r>
        <w:t xml:space="preserve"> </w:t>
      </w:r>
      <w:fldSimple w:instr="NOTEREF _Ref_Footnote_48 \h \f">
        <w:r>
          <w:rPr>
            <w:vertAlign w:val="superscript"/>
          </w:rPr>
          <w:t>48</w:t>
        </w:r>
      </w:fldSimple>
      <w:r>
        <w:t xml:space="preserve">, transforming the registry from a passive lookup tool into an ingestible data source. PDF-only publishers — PRS, UCMR-ADA, SGAE — force rightsholders into manual document review</w:t>
      </w:r>
      <w:r>
        <w:t xml:space="preserve"> </w:t>
      </w:r>
      <w:fldSimple w:instr="NOTEREF _Ref_Footnote_61 \h \f">
        <w:r>
          <w:rPr>
            <w:vertAlign w:val="superscript"/>
          </w:rPr>
          <w:t>61</w:t>
        </w:r>
      </w:fldSimple>
      <w:r>
        <w:t xml:space="preserve"> </w:t>
      </w:r>
      <w:fldSimple w:instr="NOTEREF _Ref_Footnote_3 \h \f">
        <w:r>
          <w:rPr>
            <w:vertAlign w:val="superscript"/>
          </w:rPr>
          <w:t>3</w:t>
        </w:r>
      </w:fldSimple>
      <w:r>
        <w:t xml:space="preserve"> </w:t>
      </w:r>
      <w:fldSimple w:instr="NOTEREF _Ref_Footnote_59 \h \f">
        <w:r>
          <w:rPr>
            <w:vertAlign w:val="superscript"/>
          </w:rPr>
          <w:t>59</w:t>
        </w:r>
      </w:fldSimple>
      <w:r>
        <w:t xml:space="preserve">.</w:t>
      </w:r>
    </w:p>
    <w:p>
      <w:pPr>
        <w:pStyle w:val="BodyText"/>
      </w:pPr>
      <w:r>
        <w:rPr>
          <w:bCs/>
          <w:b/>
        </w:rPr>
        <w:t xml:space="preserve">Pillar 4: Clear, time-bound claim process.</w:t>
      </w:r>
      <w:r>
        <w:t xml:space="preserve"> </w:t>
      </w:r>
      <w:r>
        <w:t xml:space="preserve">SOZA provides a standardised identification form and a three-year claim window</w:t>
      </w:r>
      <w:r>
        <w:t xml:space="preserve"> </w:t>
      </w:r>
      <w:fldSimple w:instr="NOTEREF _Ref_Footnote_90 \h \f">
        <w:r>
          <w:rPr>
            <w:vertAlign w:val="superscript"/>
          </w:rPr>
          <w:t>90</w:t>
        </w:r>
      </w:fldSimple>
      <w:r>
        <w:t xml:space="preserve"> </w:t>
      </w:r>
      <w:r>
        <w:rPr>
          <w:vertAlign w:val="superscript"/>
        </w:rPr>
        <w:footnoteReference w:id="129"/>
      </w:r>
      <w:r>
        <w:t xml:space="preserve">; SACEM embeds a claim button per search result</w:t>
      </w:r>
      <w:r>
        <w:t xml:space="preserve"> </w:t>
      </w:r>
      <w:fldSimple w:instr="NOTEREF _Ref_Footnote_17 \h \f">
        <w:r>
          <w:rPr>
            <w:vertAlign w:val="superscript"/>
          </w:rPr>
          <w:t>17</w:t>
        </w:r>
      </w:fldSimple>
      <w:r>
        <w:t xml:space="preserve">; KODA offers dual pathways via its member portal or email</w:t>
      </w:r>
      <w:r>
        <w:t xml:space="preserve"> </w:t>
      </w:r>
      <w:fldSimple w:instr="NOTEREF _Ref_Footnote_85 \h \f">
        <w:r>
          <w:rPr>
            <w:vertAlign w:val="superscript"/>
          </w:rPr>
          <w:t>85</w:t>
        </w:r>
      </w:fldSimple>
      <w:r>
        <w:t xml:space="preserve">. Several PDF-only publishers lack any documented claim workflow, leaving foreign rightsholders uncertain how to proceed.</w:t>
      </w:r>
    </w:p>
    <w:p>
      <w:pPr>
        <w:pStyle w:val="BodyText"/>
      </w:pPr>
      <w:r>
        <w:rPr>
          <w:bCs/>
          <w:b/>
        </w:rPr>
        <w:t xml:space="preserve">Pillar 5: Regular, communicated updates.</w:t>
      </w:r>
      <w:r>
        <w:t xml:space="preserve"> </w:t>
      </w:r>
      <w:r>
        <w:t xml:space="preserve">UCMR-ADA publishes monthly — the highest frequency in Europe</w:t>
      </w:r>
      <w:r>
        <w:t xml:space="preserve"> </w:t>
      </w:r>
      <w:fldSimple w:instr="NOTEREF _Ref_Footnote_3 \h \f">
        <w:r>
          <w:rPr>
            <w:vertAlign w:val="superscript"/>
          </w:rPr>
          <w:t>3</w:t>
        </w:r>
      </w:fldSimple>
      <w:r>
        <w:t xml:space="preserve">— while PRS and STIM update quarterly</w:t>
      </w:r>
      <w:r>
        <w:t xml:space="preserve"> </w:t>
      </w:r>
      <w:fldSimple w:instr="NOTEREF _Ref_Footnote_61 \h \f">
        <w:r>
          <w:rPr>
            <w:vertAlign w:val="superscript"/>
          </w:rPr>
          <w:t>61</w:t>
        </w:r>
      </w:fldSimple>
      <w:r>
        <w:t xml:space="preserve"> </w:t>
      </w:r>
      <w:fldSimple w:instr="NOTEREF _Ref_Footnote_42 \h \f">
        <w:r>
          <w:rPr>
            <w:vertAlign w:val="superscript"/>
          </w:rPr>
          <w:t>42</w:t>
        </w:r>
      </w:fldSimple>
      <w:r>
        <w:t xml:space="preserve">. At the other extreme, SOZA’s annual snapshots are not refreshed between uploads, meaning a work claimed in January may remain listed until December</w:t>
      </w:r>
      <w:r>
        <w:t xml:space="preserve"> </w:t>
      </w:r>
      <w:fldSimple w:instr="NOTEREF _Ref_Footnote_14 \h \f">
        <w:r>
          <w:rPr>
            <w:vertAlign w:val="superscript"/>
          </w:rPr>
          <w:t>14</w:t>
        </w:r>
      </w:fldSimple>
      <w:r>
        <w:t xml:space="preserve">. The US Copyright Office’s 2021 recommendations urge real-time updates with automatic removal of resolved entries</w:t>
      </w:r>
      <w:r>
        <w:t xml:space="preserve"> </w:t>
      </w:r>
      <w:r>
        <w:rPr>
          <w:vertAlign w:val="superscript"/>
        </w:rPr>
        <w:footnoteReference w:id="130"/>
      </w:r>
      <w:r>
        <w:t xml:space="preserve">, a standard no European CMO meets.</w:t>
      </w:r>
    </w:p>
    <w:bookmarkEnd w:id="72"/>
    <w:bookmarkStart w:id="77" w:name="technology-and-standardisation"/>
    <w:p>
      <w:pPr>
        <w:pStyle w:val="Heading3"/>
      </w:pPr>
      <w:r>
        <w:t xml:space="preserve">4.3 Technology and Standardisation</w:t>
      </w:r>
    </w:p>
    <w:bookmarkStart w:id="73" w:name="X071384e57610bf51ec2999093b82226e7979afa"/>
    <w:p>
      <w:pPr>
        <w:pStyle w:val="Heading4"/>
      </w:pPr>
      <w:r>
        <w:t xml:space="preserve">4.3.1 The API Void: No European CMO Offers Public Programmatic Access</w:t>
      </w:r>
    </w:p>
    <w:p>
      <w:pPr>
        <w:pStyle w:val="FirstParagraph"/>
      </w:pPr>
      <w:r>
        <w:t xml:space="preserve">No European CMO was found to offer a public API for querying unidentified works data — a finding confirmed by direct examination and cross-verification across multiple research dimensions</w:t>
      </w:r>
      <w:r>
        <w:t xml:space="preserve"> </w:t>
      </w:r>
      <w:r>
        <w:rPr>
          <w:vertAlign w:val="superscript"/>
        </w:rPr>
        <w:footnoteReference w:id="131"/>
      </w:r>
      <w:r>
        <w:t xml:space="preserve"> </w:t>
      </w:r>
      <w:r>
        <w:rPr>
          <w:vertAlign w:val="superscript"/>
        </w:rPr>
        <w:footnoteReference w:id="132"/>
      </w:r>
      <w:r>
        <w:t xml:space="preserve">. The Mechanical Licensing Collective (MLC) in the United States is the sole CMO globally that provides such access</w:t>
      </w:r>
      <w:r>
        <w:t xml:space="preserve"> </w:t>
      </w:r>
      <w:r>
        <w:rPr>
          <w:vertAlign w:val="superscript"/>
        </w:rPr>
        <w:footnoteReference w:id="133"/>
      </w:r>
      <w:r>
        <w:t xml:space="preserve"> </w:t>
      </w:r>
      <w:fldSimple w:instr="NOTEREF _Ref_Footnote_132 \h \f">
        <w:r>
          <w:rPr>
            <w:vertAlign w:val="superscript"/>
          </w:rPr>
          <w:t>132</w:t>
        </w:r>
      </w:fldSimple>
      <w:r>
        <w:t xml:space="preserve">. Its Public Search API permits querying by work title, writer name, ISWC and MLC song code, returning structured JSON responses integrable into third-party workflows</w:t>
      </w:r>
      <w:r>
        <w:t xml:space="preserve"> </w:t>
      </w:r>
      <w:fldSimple w:instr="NOTEREF _Ref_Footnote_132 \h \f">
        <w:r>
          <w:rPr>
            <w:vertAlign w:val="superscript"/>
          </w:rPr>
          <w:t>132</w:t>
        </w:r>
      </w:fldSimple>
      <w:r>
        <w:t xml:space="preserve">. The MLC also offers bulk data feeds in DDEX BWARM format and the Distributor Unmatched Recordings Portal (DURP), through which 100-plus distributor partners view unmatched data for recordings they distributed; DURP alone has identified millions of dollars in previously unmatched royalties</w:t>
      </w:r>
      <w:r>
        <w:t xml:space="preserve"> </w:t>
      </w:r>
      <w:r>
        <w:rPr>
          <w:vertAlign w:val="superscript"/>
        </w:rPr>
        <w:footnoteReference w:id="134"/>
      </w:r>
      <w:r>
        <w:t xml:space="preserve"> </w:t>
      </w:r>
      <w:r>
        <w:rPr>
          <w:vertAlign w:val="superscript"/>
        </w:rPr>
        <w:footnoteReference w:id="135"/>
      </w:r>
      <w:r>
        <w:t xml:space="preserve">.</w:t>
      </w:r>
    </w:p>
    <w:p>
      <w:pPr>
        <w:pStyle w:val="BodyText"/>
      </w:pPr>
      <w:r>
        <w:t xml:space="preserve">The contrast with Europe is stark. The CISAC ecosystem — CIS-Net, ISWC, CWR, IPI — supports extensive inter-society exchange, but every component is restricted to CMOs and authorised users</w:t>
      </w:r>
      <w:r>
        <w:t xml:space="preserve"> </w:t>
      </w:r>
      <w:r>
        <w:rPr>
          <w:vertAlign w:val="superscript"/>
        </w:rPr>
        <w:footnoteReference w:id="136"/>
      </w:r>
      <w:r>
        <w:t xml:space="preserve"> </w:t>
      </w:r>
      <w:r>
        <w:rPr>
          <w:vertAlign w:val="superscript"/>
        </w:rPr>
        <w:footnoteReference w:id="137"/>
      </w:r>
      <w:r>
        <w:t xml:space="preserve">. ICE Services, Europe’s most advanced copyright-processing hub, matches 50 million-plus works using cloud infrastructure and machine learning, yet its tools are available only to licensing customers, not to the general public</w:t>
      </w:r>
      <w:r>
        <w:t xml:space="preserve"> </w:t>
      </w:r>
      <w:fldSimple w:instr="NOTEREF _Ref_Footnote_10 \h \f">
        <w:r>
          <w:rPr>
            <w:vertAlign w:val="superscript"/>
          </w:rPr>
          <w:t>10</w:t>
        </w:r>
      </w:fldSimple>
      <w:r>
        <w:t xml:space="preserve"> </w:t>
      </w:r>
      <w:r>
        <w:rPr>
          <w:vertAlign w:val="superscript"/>
        </w:rPr>
        <w:footnoteReference w:id="138"/>
      </w:r>
      <w:r>
        <w:t xml:space="preserve">. The 9.7 million annual searches on CIS-Net are inaccessible to individual creators and third-party matching services</w:t>
      </w:r>
      <w:r>
        <w:t xml:space="preserve"> </w:t>
      </w:r>
      <w:fldSimple w:instr="NOTEREF _Ref_Footnote_136 \h \f">
        <w:r>
          <w:rPr>
            <w:vertAlign w:val="superscript"/>
          </w:rPr>
          <w:t>136</w:t>
        </w:r>
      </w:fldSimple>
      <w:r>
        <w:t xml:space="preserve">.</w:t>
      </w:r>
    </w:p>
    <w:p>
      <w:pPr>
        <w:pStyle w:val="BodyText"/>
      </w:pPr>
      <w:r>
        <w:t xml:space="preserve">This API void has concrete consequences. A publisher managing 50,000 titles cannot automate searches across 20 national registries; each query must be conducted manually. The resulting friction reduces identification rates and increases compliance costs, transferring the burden of transparency from CMOs to rightsholders.</w:t>
      </w:r>
    </w:p>
    <w:bookmarkEnd w:id="73"/>
    <w:bookmarkStart w:id="74" w:name="X04f05cdc16344714ed69dafe0bb2eaf73ff0a53"/>
    <w:p>
      <w:pPr>
        <w:pStyle w:val="Heading4"/>
      </w:pPr>
      <w:r>
        <w:t xml:space="preserve">4.3.2 CISAC UP Format: Internal Exchange Without Public Standard</w:t>
      </w:r>
    </w:p>
    <w:p>
      <w:pPr>
        <w:pStyle w:val="FirstParagraph"/>
      </w:pPr>
      <w:r>
        <w:t xml:space="preserve">CISAC has developed the Unidentified Performances (UP) Format specifically for exchanging unidentified works data between its 230-plus member societies</w:t>
      </w:r>
      <w:r>
        <w:t xml:space="preserve"> </w:t>
      </w:r>
      <w:fldSimple w:instr="NOTEREF _Ref_Footnote_131 \h \f">
        <w:r>
          <w:rPr>
            <w:vertAlign w:val="superscript"/>
          </w:rPr>
          <w:t>131</w:t>
        </w:r>
      </w:fldSimple>
      <w:r>
        <w:t xml:space="preserve">. The UP Format facilitates enquiries for musical and audiovisual works where the requesting society lacks sufficient documentation to identify the performance and distribute royalties. Responding societies provide missing documentation through AVR (audiovisual) or CWR (musical works) formats</w:t>
      </w:r>
      <w:r>
        <w:t xml:space="preserve"> </w:t>
      </w:r>
      <w:fldSimple w:instr="NOTEREF _Ref_Footnote_131 \h \f">
        <w:r>
          <w:rPr>
            <w:vertAlign w:val="superscript"/>
          </w:rPr>
          <w:t>131</w:t>
        </w:r>
      </w:fldSimple>
      <w:r>
        <w:t xml:space="preserve">. A companion standard, the Unidentified Performances Shares (UDS) Format, handles cases where the work is identified but shareholder information is incomplete</w:t>
      </w:r>
      <w:r>
        <w:t xml:space="preserve"> </w:t>
      </w:r>
      <w:fldSimple w:instr="NOTEREF _Ref_Footnote_131 \h \f">
        <w:r>
          <w:rPr>
            <w:vertAlign w:val="superscript"/>
          </w:rPr>
          <w:t>131</w:t>
        </w:r>
      </w:fldSimple>
      <w:r>
        <w:t xml:space="preserve">.</w:t>
      </w:r>
    </w:p>
    <w:p>
      <w:pPr>
        <w:pStyle w:val="BodyText"/>
      </w:pPr>
      <w:r>
        <w:t xml:space="preserve">These formats represent the only industry-standard mechanism for cross-border unidentified works data sharing. CISAC binding resolutions require member societies to circulate UP files and share unidentified performance data through CIS-Net</w:t>
      </w:r>
      <w:r>
        <w:t xml:space="preserve"> </w:t>
      </w:r>
      <w:r>
        <w:rPr>
          <w:vertAlign w:val="superscript"/>
        </w:rPr>
        <w:footnoteReference w:id="139"/>
      </w:r>
      <w:r>
        <w:t xml:space="preserve">. SACEM described the operational reality at a 2021 US Copyright Office roundtable:</w:t>
      </w:r>
      <w:r>
        <w:t xml:space="preserve"> </w:t>
      </w:r>
      <w:r>
        <w:t xml:space="preserve">“</w:t>
      </w:r>
      <w:r>
        <w:t xml:space="preserve">All the foreign societies inside of CISAC… we do share on a periodical basis what we call unidentified performances lists, and we do use our CIS Net network of databases where we all store our copyright information</w:t>
      </w:r>
      <w:r>
        <w:t xml:space="preserve">”</w:t>
      </w:r>
      <w:r>
        <w:t xml:space="preserve"> </w:t>
      </w:r>
      <w:fldSimple w:instr="NOTEREF _Ref_Footnote_130 \h \f">
        <w:r>
          <w:rPr>
            <w:vertAlign w:val="superscript"/>
          </w:rPr>
          <w:t>130</w:t>
        </w:r>
      </w:fldSimple>
      <w:r>
        <w:t xml:space="preserve">.</w:t>
      </w:r>
    </w:p>
    <w:p>
      <w:pPr>
        <w:pStyle w:val="BodyText"/>
      </w:pPr>
      <w:r>
        <w:t xml:space="preserve">However, the UP and UDS formats are designed exclusively for society-to-society exchange. There is no CISAC standard — nor any EU-level specification — for how CMOs should publish unidentified works information to the public under Article 13</w:t>
      </w:r>
      <w:r>
        <w:t xml:space="preserve"> </w:t>
      </w:r>
      <w:fldSimple w:instr="NOTEREF _Ref_Footnote_128 \h \f">
        <w:r>
          <w:rPr>
            <w:vertAlign w:val="superscript"/>
          </w:rPr>
          <w:t>128</w:t>
        </w:r>
      </w:fldSimple>
      <w:r>
        <w:t xml:space="preserve">. The CRM Directive requires CMOs to</w:t>
      </w:r>
      <w:r>
        <w:t xml:space="preserve"> </w:t>
      </w:r>
      <w:r>
        <w:t xml:space="preserve">“</w:t>
      </w:r>
      <w:r>
        <w:t xml:space="preserve">make that information available to the public</w:t>
      </w:r>
      <w:r>
        <w:t xml:space="preserve">”</w:t>
      </w:r>
      <w:r>
        <w:t xml:space="preserve"> </w:t>
      </w:r>
      <w:r>
        <w:t xml:space="preserve">but prescribes no format, no minimum data fields and no delivery mechanism</w:t>
      </w:r>
      <w:r>
        <w:t xml:space="preserve"> </w:t>
      </w:r>
      <w:fldSimple w:instr="NOTEREF _Ref_Footnote_128 \h \f">
        <w:r>
          <w:rPr>
            <w:vertAlign w:val="superscript"/>
          </w:rPr>
          <w:t>128</w:t>
        </w:r>
      </w:fldSimple>
      <w:r>
        <w:t xml:space="preserve">. Article 24(2)(c) mandates use of unique identifiers for multi-territorial licensing, yet the European Commission’s 2021 implementation report (SMART 2019/0024) did not extend this requirement to Article 13 publication, and interviews with CMOs confirmed that the Directive</w:t>
      </w:r>
      <w:r>
        <w:t xml:space="preserve"> </w:t>
      </w:r>
      <w:r>
        <w:t xml:space="preserve">“</w:t>
      </w:r>
      <w:r>
        <w:t xml:space="preserve">did not have much impact on the standardisation of rights management data</w:t>
      </w:r>
      <w:r>
        <w:t xml:space="preserve">”</w:t>
      </w:r>
      <w:r>
        <w:t xml:space="preserve"> </w:t>
      </w:r>
      <w:fldSimple w:instr="NOTEREF _Ref_Footnote_12 \h \f">
        <w:r>
          <w:rPr>
            <w:vertAlign w:val="superscript"/>
          </w:rPr>
          <w:t>12</w:t>
        </w:r>
      </w:fldSimple>
      <w:r>
        <w:t xml:space="preserve"> </w:t>
      </w:r>
      <w:fldSimple w:instr="NOTEREF _Ref_Footnote_11 \h \f">
        <w:r>
          <w:rPr>
            <w:vertAlign w:val="superscript"/>
          </w:rPr>
          <w:t>11</w:t>
        </w:r>
      </w:fldSimple>
      <w:r>
        <w:t xml:space="preserve">.</w:t>
      </w:r>
    </w:p>
    <w:bookmarkEnd w:id="74"/>
    <w:bookmarkStart w:id="75" w:name="X4b3af5f63a9302bfd7ddecd58a0fddc4c12aaa1"/>
    <w:p>
      <w:pPr>
        <w:pStyle w:val="Heading4"/>
      </w:pPr>
      <w:r>
        <w:t xml:space="preserve">4.3.3 DDEX BWARM: A Ready-Made Standard with Zero Adoption</w:t>
      </w:r>
    </w:p>
    <w:p>
      <w:pPr>
        <w:pStyle w:val="FirstParagraph"/>
      </w:pPr>
      <w:r>
        <w:t xml:space="preserve">The DDEX (Digital Data Exchange) BWARM standard (Bulk Works and Recording Metadata) presents a paradox: it explicitly includes a data structure for</w:t>
      </w:r>
      <w:r>
        <w:t xml:space="preserve"> </w:t>
      </w:r>
      <w:r>
        <w:t xml:space="preserve">“</w:t>
      </w:r>
      <w:r>
        <w:t xml:space="preserve">unclaimed shares in musical works and their usage</w:t>
      </w:r>
      <w:r>
        <w:t xml:space="preserve">”</w:t>
      </w:r>
      <w:r>
        <w:t xml:space="preserve"> </w:t>
      </w:r>
      <w:fldSimple w:instr="NOTEREF _Ref_Footnote_16 \h \f">
        <w:r>
          <w:rPr>
            <w:vertAlign w:val="superscript"/>
          </w:rPr>
          <w:t>16</w:t>
        </w:r>
      </w:fldSimple>
      <w:r>
        <w:t xml:space="preserve"> </w:t>
      </w:r>
      <w:r>
        <w:rPr>
          <w:vertAlign w:val="superscript"/>
        </w:rPr>
        <w:footnoteReference w:id="140"/>
      </w:r>
      <w:r>
        <w:t xml:space="preserve">, yet no European CMO has adopted it for Article 13 publication. A BWARM feed comprises 12 files covering musical works, sound recordings, releases, work-recording links, right shares, interested parties and — critically — the list of unclaimed shares and their associated usage data</w:t>
      </w:r>
      <w:r>
        <w:t xml:space="preserve"> </w:t>
      </w:r>
      <w:fldSimple w:instr="NOTEREF _Ref_Footnote_16 \h \f">
        <w:r>
          <w:rPr>
            <w:vertAlign w:val="superscript"/>
          </w:rPr>
          <w:t>16</w:t>
        </w:r>
      </w:fldSimple>
      <w:r>
        <w:t xml:space="preserve">.</w:t>
      </w:r>
    </w:p>
    <w:p>
      <w:pPr>
        <w:pStyle w:val="BodyText"/>
      </w:pPr>
      <w:r>
        <w:t xml:space="preserve">BWARM was developed in part to support the MLC’s mandate under the US Music Modernization Act, and the MLC now delivers bulk database feeds in BWARM-compliant TSV files to registered subscribers</w:t>
      </w:r>
      <w:r>
        <w:t xml:space="preserve"> </w:t>
      </w:r>
      <w:r>
        <w:rPr>
          <w:vertAlign w:val="superscript"/>
        </w:rPr>
        <w:footnoteReference w:id="141"/>
      </w:r>
      <w:r>
        <w:t xml:space="preserve"> </w:t>
      </w:r>
      <w:fldSimple w:instr="NOTEREF _Ref_Footnote_132 \h \f">
        <w:r>
          <w:rPr>
            <w:vertAlign w:val="superscript"/>
          </w:rPr>
          <w:t>132</w:t>
        </w:r>
      </w:fldSimple>
      <w:r>
        <w:t xml:space="preserve">. The standard’s relevance to European CMOs is direct: if adopted, it would provide a common, machine-readable format for publishing unidentified works data, complete with fields for standard identifiers (ISWC, ISRC, IPI), usage information and share percentages. The technology exists and is maintained by an active standards body; the barrier is adoption, not specification.</w:t>
      </w:r>
    </w:p>
    <w:p>
      <w:pPr>
        <w:pStyle w:val="BodyText"/>
      </w:pPr>
      <w:r>
        <w:t xml:space="preserve">The reasons for non-adoption mirror those identified in the broader standardisation debate. CMOs operate decades-old IT infrastructure built around proprietary data models</w:t>
      </w:r>
      <w:r>
        <w:t xml:space="preserve"> </w:t>
      </w:r>
      <w:fldSimple w:instr="NOTEREF _Ref_Footnote_12 \h \f">
        <w:r>
          <w:rPr>
            <w:vertAlign w:val="superscript"/>
          </w:rPr>
          <w:t>12</w:t>
        </w:r>
      </w:fldSimple>
      <w:r>
        <w:t xml:space="preserve">. Migrating to a standardised publication format requires technical investment, organisational coordination and — critically — a regulatory or market incentive that does not currently exist. The European Commission’s 2021 review of the CRM Directive declined to recommend standardised registry formats</w:t>
      </w:r>
      <w:r>
        <w:t xml:space="preserve"> </w:t>
      </w:r>
      <w:fldSimple w:instr="NOTEREF _Ref_Footnote_11 \h \f">
        <w:r>
          <w:rPr>
            <w:vertAlign w:val="superscript"/>
          </w:rPr>
          <w:t>11</w:t>
        </w:r>
      </w:fldSimple>
      <w:r>
        <w:t xml:space="preserve">, and no CEN, ETSI or CENELEC working group has taken up the question</w:t>
      </w:r>
      <w:r>
        <w:t xml:space="preserve"> </w:t>
      </w:r>
      <w:fldSimple w:instr="NOTEREF _Ref_Footnote_40 \h \f">
        <w:r>
          <w:rPr>
            <w:vertAlign w:val="superscript"/>
          </w:rPr>
          <w:t>40</w:t>
        </w:r>
      </w:fldSimple>
      <w:r>
        <w:t xml:space="preserve"> </w:t>
      </w:r>
      <w:r>
        <w:rPr>
          <w:vertAlign w:val="superscript"/>
        </w:rPr>
        <w:footnoteReference w:id="142"/>
      </w:r>
      <w:r>
        <w:t xml:space="preserve">. The result is that a ready-made, internationally maintained standard for unidentified works publication sits unused while European CMOs continue to publish in ad hoc PDF, Excel and web-search formats.</w:t>
      </w:r>
    </w:p>
    <w:bookmarkEnd w:id="75"/>
    <w:bookmarkStart w:id="76" w:name="X6e57d586ff39e0d1aabd3f7541aea389767d5a2"/>
    <w:p>
      <w:pPr>
        <w:pStyle w:val="Heading4"/>
      </w:pPr>
      <w:r>
        <w:t xml:space="preserve">4.3.4 The Failed Global Repertoire Database and Its Legacy</w:t>
      </w:r>
    </w:p>
    <w:p>
      <w:pPr>
        <w:pStyle w:val="FirstParagraph"/>
      </w:pPr>
      <w:r>
        <w:t xml:space="preserve">The most ambitious attempt to create a unified global database of musical works — the Global Repertoire Database (GRD) — offers a cautionary reference point for future standardisation efforts. Initiated by EU Commissioner Neelie Kroes in 2008, the GRD Working Group brought together CISAC, major publishers, technology companies and leading CMOs</w:t>
      </w:r>
      <w:r>
        <w:t xml:space="preserve"> </w:t>
      </w:r>
      <w:r>
        <w:rPr>
          <w:vertAlign w:val="superscript"/>
        </w:rPr>
        <w:footnoteReference w:id="143"/>
      </w:r>
      <w:r>
        <w:t xml:space="preserve">. The project collapsed in July 2014 after more than GBP 8 million in investment with no tangible outcome</w:t>
      </w:r>
      <w:r>
        <w:t xml:space="preserve"> </w:t>
      </w:r>
      <w:r>
        <w:rPr>
          <w:vertAlign w:val="superscript"/>
        </w:rPr>
        <w:footnoteReference w:id="144"/>
      </w:r>
      <w:r>
        <w:t xml:space="preserve"> </w:t>
      </w:r>
      <w:r>
        <w:rPr>
          <w:vertAlign w:val="superscript"/>
        </w:rPr>
        <w:footnoteReference w:id="145"/>
      </w:r>
      <w:r>
        <w:t xml:space="preserve">. ASCAP reportedly withdrew funding first; governance disputes over control of global rights data proved intractable; and CMOs feared an efficient global database would render their intermediary role redundant</w:t>
      </w:r>
      <w:r>
        <w:t xml:space="preserve"> </w:t>
      </w:r>
      <w:fldSimple w:instr="NOTEREF _Ref_Footnote_143 \h \f">
        <w:r>
          <w:rPr>
            <w:vertAlign w:val="superscript"/>
          </w:rPr>
          <w:t>143</w:t>
        </w:r>
      </w:fldSimple>
      <w:r>
        <w:t xml:space="preserve"> </w:t>
      </w:r>
      <w:fldSimple w:instr="NOTEREF _Ref_Footnote_144 \h \f">
        <w:r>
          <w:rPr>
            <w:vertAlign w:val="superscript"/>
          </w:rPr>
          <w:t>144</w:t>
        </w:r>
      </w:fldSimple>
      <w:r>
        <w:t xml:space="preserve">.</w:t>
      </w:r>
    </w:p>
    <w:p>
      <w:pPr>
        <w:pStyle w:val="BodyText"/>
      </w:pPr>
      <w:r>
        <w:t xml:space="preserve">The GRD’s failure left a lasting mark. As a 2011 WIPO document noted, there remains</w:t>
      </w:r>
      <w:r>
        <w:t xml:space="preserve"> </w:t>
      </w:r>
      <w:r>
        <w:t xml:space="preserve">“</w:t>
      </w:r>
      <w:r>
        <w:t xml:space="preserve">no single document, catalogue or searchable open database available to the user community, rightsholders or intermediaries that details the several million musical works that are commercially available across the globe, or the links between them</w:t>
      </w:r>
      <w:r>
        <w:t xml:space="preserve">”</w:t>
      </w:r>
      <w:r>
        <w:t xml:space="preserve"> </w:t>
      </w:r>
      <w:r>
        <w:rPr>
          <w:vertAlign w:val="superscript"/>
        </w:rPr>
        <w:footnoteReference w:id="146"/>
      </w:r>
      <w:r>
        <w:t xml:space="preserve">. Without a unified global repertoire, each CMO maintains its own partial view, and unmatched works cannot be cross-referenced against a comprehensive index.</w:t>
      </w:r>
    </w:p>
    <w:p>
      <w:pPr>
        <w:pStyle w:val="BodyText"/>
      </w:pPr>
      <w:r>
        <w:t xml:space="preserve">Three lessons from the GRD are pertinent to any future EU-level initiative. First, stakeholder incentives must be aligned before technical work begins. Second, governance — who owns, maintains and funds shared infrastructure — must be resolved at the outset. Third, incremental progress may be more achievable than grand unification. Policymakers might mandate adoption of the existing BWARM standard for Article 13 publication, creating interoperability without requiring centralisation. The ASCAP-SACEM-PRS blockchain pilot of 2017 — which linked ISRCs to ISWCs for 25,000 works — demonstrated that targeted projects can yield proof-of-concept results</w:t>
      </w:r>
      <w:r>
        <w:t xml:space="preserve"> </w:t>
      </w:r>
      <w:r>
        <w:rPr>
          <w:vertAlign w:val="superscript"/>
        </w:rPr>
        <w:footnoteReference w:id="147"/>
      </w:r>
      <w:r>
        <w:t xml:space="preserve"> </w:t>
      </w:r>
      <w:r>
        <w:rPr>
          <w:vertAlign w:val="superscript"/>
        </w:rPr>
        <w:footnoteReference w:id="148"/>
      </w:r>
      <w:r>
        <w:t xml:space="preserve">.</w:t>
      </w:r>
    </w:p>
    <w:p>
      <w:pPr>
        <w:pStyle w:val="BodyText"/>
      </w:pPr>
      <w:r>
        <w:t xml:space="preserve">The technology gap in European unidentified works registries is not a capability problem but a deployment problem. The MLC has shown that public APIs and bulk data access are technically feasible; CISAC has shown that inter-society exchange at global scale works; DDEX has shown that a standard format for unclaimed shares already exists. What remains absent is the regulatory or industry coordination mechanism to connect these proven capabilities to the public-facing transparency that Article 13 was intended to deliver.</w:t>
      </w:r>
    </w:p>
    <w:p>
      <w:r>
        <w:pict>
          <v:rect style="width:0;height:1.5pt" o:hralign="center" o:hrstd="t" o:hr="t"/>
        </w:pict>
      </w:r>
    </w:p>
    <w:bookmarkEnd w:id="76"/>
    <w:bookmarkEnd w:id="77"/>
    <w:bookmarkEnd w:id="78"/>
    <w:bookmarkStart w:id="83" w:name="cross-cutting-insights"/>
    <w:p>
      <w:pPr>
        <w:pStyle w:val="Heading2"/>
      </w:pPr>
      <w:r>
        <w:t xml:space="preserve">5. Cross-Cutting Insights</w:t>
      </w:r>
    </w:p>
    <w:p>
      <w:pPr>
        <w:pStyle w:val="FirstParagraph"/>
      </w:pPr>
      <w:r>
        <w:t xml:space="preserve">The preceding chapters have mapped what European CMOs publish, how they publish it, and where gaps exist. The more consequential question is why these patterns persist — and what they reveal about the structural failures of the current framework. Four cross-cutting insights emerge from the research that cut across legal, technical, market, and jurisdictional dimensions. Each carries implications not merely for compliance metrics, but for the underlying accountability relationship between CMOs and the rightsholders they serve.</w:t>
      </w:r>
    </w:p>
    <w:bookmarkStart w:id="79" w:name="the-accountability-vacuum-at-scale"/>
    <w:p>
      <w:pPr>
        <w:pStyle w:val="Heading3"/>
      </w:pPr>
      <w:r>
        <w:t xml:space="preserve">5.1 The Accountability Vacuum at Scale</w:t>
      </w:r>
    </w:p>
    <w:p>
      <w:pPr>
        <w:pStyle w:val="FirstParagraph"/>
      </w:pPr>
      <w:r>
        <w:t xml:space="preserve">The most consequential structural finding of this research concerns the rise of centralised processing hubs and the regulatory blind spot they occupy. ICE Services — the joint venture between PRS for Music (UK), STIM (Sweden), and GEMA (Germany) — maintains a copyright database of 55 million works, processes trillions of online music streams annually, and distributes more than EUR 1 billion in royalties across 250+ territories</w:t>
      </w:r>
      <w:r>
        <w:t xml:space="preserve"> </w:t>
      </w:r>
      <w:fldSimple w:instr="NOTEREF _Ref_Footnote_10 \h \f">
        <w:r>
          <w:rPr>
            <w:vertAlign w:val="superscript"/>
          </w:rPr>
          <w:t>10</w:t>
        </w:r>
      </w:fldSimple>
      <w:r>
        <w:t xml:space="preserve"> </w:t>
      </w:r>
      <w:fldSimple w:instr="NOTEREF _Ref_Footnote_14 \h \f">
        <w:r>
          <w:rPr>
            <w:vertAlign w:val="superscript"/>
          </w:rPr>
          <w:t>14</w:t>
        </w:r>
      </w:fldSimple>
      <w:r>
        <w:t xml:space="preserve">. Yet ICE has no legal obligation to publish unidentified works data, and it does not do so voluntarily. Its recently launched Cube platform promises</w:t>
      </w:r>
      <w:r>
        <w:t xml:space="preserve"> </w:t>
      </w:r>
      <w:r>
        <w:t xml:space="preserve">“</w:t>
      </w:r>
      <w:r>
        <w:t xml:space="preserve">transparency in its DNA</w:t>
      </w:r>
      <w:r>
        <w:t xml:space="preserve">”</w:t>
      </w:r>
      <w:r>
        <w:t xml:space="preserve"> </w:t>
      </w:r>
      <w:r>
        <w:t xml:space="preserve">but restricts access to registered customers and rightsholders; the public has no portal through which to search for unmatched works flowing through the world’s largest multi-territorial licensing hub</w:t>
      </w:r>
      <w:r>
        <w:t xml:space="preserve"> </w:t>
      </w:r>
      <w:fldSimple w:instr="NOTEREF _Ref_Footnote_120 \h \f">
        <w:r>
          <w:rPr>
            <w:vertAlign w:val="superscript"/>
          </w:rPr>
          <w:t>120</w:t>
        </w:r>
      </w:fldSimple>
      <w:r>
        <w:t xml:space="preserve">.</w:t>
      </w:r>
    </w:p>
    <w:p>
      <w:pPr>
        <w:pStyle w:val="BodyText"/>
      </w:pPr>
      <w:r>
        <w:t xml:space="preserve">This matters because the scale of opacity is not marginal — it is dominant. ICE Core’s membership is expanding: Teosto (Finland), TONO (Norway), and STEF (Iceland) will join from January 2026, consolidating Nordic online licensing under a single hub after the shuttering of the Polaris joint venture</w:t>
      </w:r>
      <w:r>
        <w:t xml:space="preserve"> </w:t>
      </w:r>
      <w:fldSimple w:instr="NOTEREF _Ref_Footnote_15 \h \f">
        <w:r>
          <w:rPr>
            <w:vertAlign w:val="superscript"/>
          </w:rPr>
          <w:t>15</w:t>
        </w:r>
      </w:fldSimple>
      <w:r>
        <w:t xml:space="preserve">. Each additional CMO channelled through ICE means another national repertoire whose unidentified works are processed centrally but reported (if at all) through fragmented national channels. The rightsholder seeking to claim unmatched royalties from Finnish, Norwegian, or Icelandic repertoire after 2026 will find no ICE portal — only the obligation to navigate individual national CMO websites, assuming those CMOs publish at all. The trend toward consolidation is accelerating; the trend toward transparency is not.</w:t>
      </w:r>
    </w:p>
    <w:p>
      <w:pPr>
        <w:pStyle w:val="BodyText"/>
      </w:pPr>
      <w:r>
        <w:t xml:space="preserve">The Directive was drafted for a pre-streaming era in which CMOs processed domestic usage directly. Article 13 obliges</w:t>
      </w:r>
      <w:r>
        <w:t xml:space="preserve"> </w:t>
      </w:r>
      <w:r>
        <w:t xml:space="preserve">“</w:t>
      </w:r>
      <w:r>
        <w:t xml:space="preserve">collective management organisations</w:t>
      </w:r>
      <w:r>
        <w:t xml:space="preserve">”</w:t>
      </w:r>
      <w:r>
        <w:t xml:space="preserve"> </w:t>
      </w:r>
      <w:r>
        <w:t xml:space="preserve">to publish unidentified works information, but ICE is not a CMO — it is a service provider</w:t>
      </w:r>
      <w:r>
        <w:t xml:space="preserve"> </w:t>
      </w:r>
      <w:fldSimple w:instr="NOTEREF _Ref_Footnote_2 \h \f">
        <w:r>
          <w:rPr>
            <w:vertAlign w:val="superscript"/>
          </w:rPr>
          <w:t>2</w:t>
        </w:r>
      </w:fldSimple>
      <w:r>
        <w:t xml:space="preserve">. The legal obligation flows to the national CMOs that delegate processing to ICE, who receive data back already processed and must reverse-engineer transparency from fragmented reports. NCB (Nordic Copyright Bureau) offers a counterexample: despite outsourcing day-to-day administration to Koda and IT infrastructure to NMP, NCB still publishes its own</w:t>
      </w:r>
      <w:r>
        <w:t xml:space="preserve"> </w:t>
      </w:r>
      <w:r>
        <w:t xml:space="preserve">“</w:t>
      </w:r>
      <w:r>
        <w:t xml:space="preserve">List of Undocumented Works</w:t>
      </w:r>
      <w:r>
        <w:t xml:space="preserve">”</w:t>
      </w:r>
      <w:r>
        <w:t xml:space="preserve"> </w:t>
      </w:r>
      <w:r>
        <w:t xml:space="preserve">as a downloadable Excel file, demonstrating that outsourcing does not absolve publication obligations</w:t>
      </w:r>
      <w:r>
        <w:t xml:space="preserve"> </w:t>
      </w:r>
      <w:fldSimple w:instr="NOTEREF _Ref_Footnote_90 \h \f">
        <w:r>
          <w:rPr>
            <w:vertAlign w:val="superscript"/>
          </w:rPr>
          <w:t>90</w:t>
        </w:r>
      </w:fldSimple>
      <w:r>
        <w:t xml:space="preserve">. The difference is instructive: NCB, as a CMO, feels the legal pressure; ICE, as a hub, does not.</w:t>
      </w:r>
    </w:p>
    <w:p>
      <w:pPr>
        <w:pStyle w:val="BodyText"/>
      </w:pPr>
      <w:r>
        <w:t xml:space="preserve">The accountability vacuum thus has three layers. First, the entity processing the majority of European digital music streams has no transparency duty. Second, the national CMOs legally responsible receive data from ICE in a form that makes republication difficult — match rates, suspense accounts, and territorial splits are reported back as aggregated summaries rather than itemised unidentified works lists. Third, the Directive’s Article 13 was never designed for a hub-and-spoke architecture, and no amendment or guidance has closed the gap. The result is that billions of streams flow through a system with zero public accountability for unmatched works — a structural opacity baked into the architecture of digital music licensing. Until the Commission clarifies whether centralised processing hubs that effectively act as CMOs should bear parallel transparency obligations, or until ICE voluntarily publishes aggregate unidentified works statistics, rightsholders have no recourse for unmatched works processed through the dominant licensing channel in the European market.</w:t>
      </w:r>
    </w:p>
    <w:bookmarkEnd w:id="79"/>
    <w:bookmarkStart w:id="80" w:name="X4129aa99063b1322ebeda46bf4d6e3bbc9b9929"/>
    <w:p>
      <w:pPr>
        <w:pStyle w:val="Heading3"/>
      </w:pPr>
      <w:r>
        <w:t xml:space="preserve">5.2 The</w:t>
      </w:r>
      <w:r>
        <w:t xml:space="preserve"> </w:t>
      </w:r>
      <w:r>
        <w:t xml:space="preserve">“</w:t>
      </w:r>
      <w:r>
        <w:t xml:space="preserve">SACEM Paradox</w:t>
      </w:r>
      <w:r>
        <w:t xml:space="preserve">”</w:t>
      </w:r>
      <w:r>
        <w:t xml:space="preserve"> </w:t>
      </w:r>
      <w:r>
        <w:t xml:space="preserve">— Market Size Does Not Predict Compliance</w:t>
      </w:r>
    </w:p>
    <w:p>
      <w:pPr>
        <w:pStyle w:val="FirstParagraph"/>
      </w:pPr>
      <w:r>
        <w:t xml:space="preserve">A second cross-cutting insight inverts the conventional assumption that larger institutions possess greater capacity for transparency. The evidence collected across 60+ European CMOs demonstrates that market size is not merely a weak predictor of compliance quality — in some cases, the relationship runs in the opposite direction.</w:t>
      </w:r>
    </w:p>
    <w:p>
      <w:pPr>
        <w:pStyle w:val="BodyText"/>
      </w:pPr>
      <w:r>
        <w:t xml:space="preserve">SACEM France, with EUR 1.6 billion in annual collections, operates the ONI (Oeuvres Non Identifiées) portal: a bilingual, interactive, public-facing search tool integrated with an online claims button, updated with each distribution cycle</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 SACEM proves that very large CMOs can achieve excellent transparency. Yet SACEM is the exception. GEMA Germany (EUR 1.3 billion collections) restricts its unidentified works tool to members only, requiring German-language navigation</w:t>
      </w:r>
      <w:r>
        <w:t xml:space="preserve"> </w:t>
      </w:r>
      <w:fldSimple w:instr="NOTEREF _Ref_Footnote_6 \h \f">
        <w:r>
          <w:rPr>
            <w:vertAlign w:val="superscript"/>
          </w:rPr>
          <w:t>6</w:t>
        </w:r>
      </w:fldSimple>
      <w:r>
        <w:t xml:space="preserve">. SIAE Italy (EUR 750 million) maintains a members-only registry accessible only in Italian</w:t>
      </w:r>
      <w:r>
        <w:t xml:space="preserve"> </w:t>
      </w:r>
      <w:fldSimple w:instr="NOTEREF _Ref_Footnote_98 \h \f">
        <w:r>
          <w:rPr>
            <w:vertAlign w:val="superscript"/>
          </w:rPr>
          <w:t>98</w:t>
        </w:r>
      </w:fldSimple>
      <w:r>
        <w:t xml:space="preserve">. BUMA/STEMRA Netherlands (EUR 313 million) was still transitioning its IT infrastructure to a SaaS platform as of 2024, with transparency features delayed by legacy system complexity</w:t>
      </w:r>
      <w:r>
        <w:t xml:space="preserve"> </w:t>
      </w:r>
      <w:fldSimple w:instr="NOTEREF _Ref_Footnote_34 \h \f">
        <w:r>
          <w:rPr>
            <w:vertAlign w:val="superscript"/>
          </w:rPr>
          <w:t>34</w:t>
        </w:r>
      </w:fldSimple>
      <w:r>
        <w:t xml:space="preserve">.</w:t>
      </w:r>
    </w:p>
    <w:p>
      <w:pPr>
        <w:pStyle w:val="BodyText"/>
      </w:pPr>
      <w:r>
        <w:t xml:space="preserve">Against this, consider the smaller CMOs. EAÜ Estonia (EUR 10.8 million collections) operates a public interactive database</w:t>
      </w:r>
      <w:r>
        <w:t xml:space="preserve"> </w:t>
      </w:r>
      <w:fldSimple w:instr="NOTEREF _Ref_Footnote_94 \h \f">
        <w:r>
          <w:rPr>
            <w:vertAlign w:val="superscript"/>
          </w:rPr>
          <w:t>94</w:t>
        </w:r>
      </w:fldSimple>
      <w:r>
        <w:t xml:space="preserve">. UCMR-ADA Romania (EUR 41 million) has published monthly PDF lists of unidentified works since 2018</w:t>
      </w:r>
      <w:r>
        <w:t xml:space="preserve"> </w:t>
      </w:r>
      <w:fldSimple w:instr="NOTEREF _Ref_Footnote_3 \h \f">
        <w:r>
          <w:rPr>
            <w:vertAlign w:val="superscript"/>
          </w:rPr>
          <w:t>3</w:t>
        </w:r>
      </w:fldSimple>
      <w:r>
        <w:t xml:space="preserve">. HDS-ZAMP Croatia (EUR 28.9 million) publishes downloadable Excel files</w:t>
      </w:r>
      <w:r>
        <w:t xml:space="preserve"> </w:t>
      </w:r>
      <w:fldSimple w:instr="NOTEREF _Ref_Footnote_95 \h \f">
        <w:r>
          <w:rPr>
            <w:vertAlign w:val="superscript"/>
          </w:rPr>
          <w:t>95</w:t>
        </w:r>
      </w:fldSimple>
      <w:r>
        <w:t xml:space="preserve">. KODA Denmark (EUR 167 million) maintains a fully public, searchable database of unpaid royalties covering ten quarters of data</w:t>
      </w:r>
      <w:r>
        <w:t xml:space="preserve"> </w:t>
      </w:r>
      <w:r>
        <w:rPr>
          <w:vertAlign w:val="superscript"/>
        </w:rPr>
        <w:footnoteReference w:id="149"/>
      </w:r>
      <w:r>
        <w:t xml:space="preserve">. Among the smallest CMOs studied, the public registry rate approaches 100%; among the largest, it drops to roughly 50%. The data suggests a compliance curve that declines, not rises, with institutional scale.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Large CMO Disadvantage</w:t>
            </w:r>
          </w:p>
        </w:tc>
        <w:tc>
          <w:tcPr/>
          <w:p>
            <w:pPr>
              <w:pStyle w:val="Compact"/>
              <w:jc w:val="left"/>
            </w:pPr>
            <w:r>
              <w:t xml:space="preserve">Evidence Strength</w:t>
            </w:r>
          </w:p>
        </w:tc>
      </w:tr>
      <w:tr>
        <w:tc>
          <w:tcPr/>
          <w:p>
            <w:pPr>
              <w:pStyle w:val="Compact"/>
              <w:jc w:val="left"/>
            </w:pPr>
            <w:r>
              <w:t xml:space="preserve">IT legacy complexity</w:t>
            </w:r>
          </w:p>
        </w:tc>
        <w:tc>
          <w:tcPr/>
          <w:p>
            <w:pPr>
              <w:pStyle w:val="Compact"/>
              <w:jc w:val="left"/>
            </w:pPr>
            <w:r>
              <w:t xml:space="preserve">Proprietary monolithic systems resist modification; BUMA/STEMRA sold its database back to the developer to transition to SaaS</w:t>
            </w:r>
            <w:r>
              <w:t xml:space="preserve"> </w:t>
            </w:r>
            <w:fldSimple w:instr="NOTEREF _Ref_Footnote_34 \h \f">
              <w:r>
                <w:rPr>
                  <w:vertAlign w:val="superscript"/>
                </w:rPr>
                <w:t>34</w:t>
              </w:r>
            </w:fldSimple>
          </w:p>
        </w:tc>
        <w:tc>
          <w:tcPr/>
          <w:p>
            <w:pPr>
              <w:pStyle w:val="Compact"/>
              <w:jc w:val="left"/>
            </w:pPr>
            <w:r>
              <w:t xml:space="preserve">Strong</w:t>
            </w:r>
          </w:p>
        </w:tc>
      </w:tr>
      <w:tr>
        <w:tc>
          <w:tcPr/>
          <w:p>
            <w:pPr>
              <w:pStyle w:val="Compact"/>
              <w:jc w:val="left"/>
            </w:pPr>
            <w:r>
              <w:t xml:space="preserve">Bureaucratic inertia</w:t>
            </w:r>
          </w:p>
        </w:tc>
        <w:tc>
          <w:tcPr/>
          <w:p>
            <w:pPr>
              <w:pStyle w:val="Compact"/>
              <w:jc w:val="left"/>
            </w:pPr>
            <w:r>
              <w:t xml:space="preserve">GEMA processes 870,000 events annually across 249,610 live events; organisational scale creates resistance to transparency initiatives</w:t>
            </w:r>
            <w:r>
              <w:t xml:space="preserve"> </w:t>
            </w:r>
            <w:fldSimple w:instr="NOTEREF _Ref_Footnote_93 \h \f">
              <w:r>
                <w:rPr>
                  <w:vertAlign w:val="superscript"/>
                </w:rPr>
                <w:t>93</w:t>
              </w:r>
            </w:fldSimple>
          </w:p>
        </w:tc>
        <w:tc>
          <w:tcPr/>
          <w:p>
            <w:pPr>
              <w:pStyle w:val="Compact"/>
              <w:jc w:val="left"/>
            </w:pPr>
            <w:r>
              <w:t xml:space="preserve">Strong</w:t>
            </w:r>
          </w:p>
        </w:tc>
      </w:tr>
      <w:tr>
        <w:tc>
          <w:tcPr/>
          <w:p>
            <w:pPr>
              <w:pStyle w:val="Compact"/>
              <w:jc w:val="left"/>
            </w:pPr>
            <w:r>
              <w:t xml:space="preserve">Digital-native advantage</w:t>
            </w:r>
          </w:p>
        </w:tc>
        <w:tc>
          <w:tcPr/>
          <w:p>
            <w:pPr>
              <w:pStyle w:val="Compact"/>
              <w:jc w:val="left"/>
            </w:pPr>
            <w:r>
              <w:t xml:space="preserve">Small CMOs built modern systems from scratch with transparency as a design parameter; EAÜ operates at 13.2% cost ratio with lean IT</w:t>
            </w:r>
            <w:r>
              <w:t xml:space="preserve"> </w:t>
            </w:r>
            <w:fldSimple w:instr="NOTEREF _Ref_Footnote_94 \h \f">
              <w:r>
                <w:rPr>
                  <w:vertAlign w:val="superscript"/>
                </w:rPr>
                <w:t>94</w:t>
              </w:r>
            </w:fldSimple>
          </w:p>
        </w:tc>
        <w:tc>
          <w:tcPr/>
          <w:p>
            <w:pPr>
              <w:pStyle w:val="Compact"/>
              <w:jc w:val="left"/>
            </w:pPr>
            <w:r>
              <w:t xml:space="preserve">Strong</w:t>
            </w:r>
          </w:p>
        </w:tc>
      </w:tr>
      <w:tr>
        <w:tc>
          <w:tcPr/>
          <w:p>
            <w:pPr>
              <w:pStyle w:val="Compact"/>
              <w:jc w:val="left"/>
            </w:pPr>
            <w:r>
              <w:t xml:space="preserve">Regulatory environment</w:t>
            </w:r>
          </w:p>
        </w:tc>
        <w:tc>
          <w:tcPr/>
          <w:p>
            <w:pPr>
              <w:pStyle w:val="Compact"/>
              <w:jc w:val="left"/>
            </w:pPr>
            <w:r>
              <w:t xml:space="preserve">France’s Article L.324-14 CPI creates specific legal pressure; Denmark’s public transparency culture supports KODA’s open database</w:t>
            </w:r>
            <w:r>
              <w:t xml:space="preserve"> </w:t>
            </w:r>
            <w:fldSimple w:instr="NOTEREF _Ref_Footnote_18 \h \f">
              <w:r>
                <w:rPr>
                  <w:vertAlign w:val="superscript"/>
                </w:rPr>
                <w:t>18</w:t>
              </w:r>
            </w:fldSimple>
            <w:r>
              <w:t xml:space="preserve"> </w:t>
            </w:r>
            <w:fldSimple w:instr="NOTEREF _Ref_Footnote_149 \h \f">
              <w:r>
                <w:rPr>
                  <w:vertAlign w:val="superscript"/>
                </w:rPr>
                <w:t>149</w:t>
              </w:r>
            </w:fldSimple>
          </w:p>
        </w:tc>
        <w:tc>
          <w:tcPr/>
          <w:p>
            <w:pPr>
              <w:pStyle w:val="Compact"/>
              <w:jc w:val="left"/>
            </w:pPr>
            <w:r>
              <w:t xml:space="preserve">Moderate</w:t>
            </w:r>
          </w:p>
        </w:tc>
      </w:tr>
      <w:tr>
        <w:tc>
          <w:tcPr/>
          <w:p>
            <w:pPr>
              <w:pStyle w:val="Compact"/>
              <w:jc w:val="left"/>
            </w:pPr>
            <w:r>
              <w:t xml:space="preserve">Strategic choice</w:t>
            </w:r>
          </w:p>
        </w:tc>
        <w:tc>
          <w:tcPr/>
          <w:p>
            <w:pPr>
              <w:pStyle w:val="Compact"/>
              <w:jc w:val="left"/>
            </w:pPr>
            <w:r>
              <w:t xml:space="preserve">SACEM’s</w:t>
            </w:r>
            <w:r>
              <w:t xml:space="preserve"> </w:t>
            </w:r>
            <w:r>
              <w:t xml:space="preserve">“</w:t>
            </w:r>
            <w:r>
              <w:t xml:space="preserve">Sacem 3.0</w:t>
            </w:r>
            <w:r>
              <w:t xml:space="preserve">”</w:t>
            </w:r>
            <w:r>
              <w:t xml:space="preserve"> </w:t>
            </w:r>
            <w:r>
              <w:t xml:space="preserve">digital transformation was a deliberate board-level decision; GEMA’s CFO admits</w:t>
            </w:r>
            <w:r>
              <w:t xml:space="preserve"> </w:t>
            </w:r>
            <w:r>
              <w:t xml:space="preserve">“</w:t>
            </w:r>
            <w:r>
              <w:t xml:space="preserve">we are not yet where we want to be</w:t>
            </w:r>
            <w:r>
              <w:t xml:space="preserve">”</w:t>
            </w:r>
            <w:r>
              <w:t xml:space="preserve"> </w:t>
            </w:r>
            <w:r>
              <w:rPr>
                <w:vertAlign w:val="superscript"/>
              </w:rPr>
              <w:footnoteReference w:id="150"/>
            </w:r>
            <w:r>
              <w:t xml:space="preserve"> </w:t>
            </w:r>
            <w:r>
              <w:rPr>
                <w:vertAlign w:val="superscript"/>
              </w:rPr>
              <w:footnoteReference w:id="151"/>
            </w:r>
          </w:p>
        </w:tc>
        <w:tc>
          <w:tcPr/>
          <w:p>
            <w:pPr>
              <w:pStyle w:val="Compact"/>
              <w:jc w:val="left"/>
            </w:pPr>
            <w:r>
              <w:t xml:space="preserve">Strong</w:t>
            </w:r>
          </w:p>
        </w:tc>
      </w:tr>
    </w:tbl>
    <w:p>
      <w:pPr>
        <w:pStyle w:val="BodyText"/>
      </w:pPr>
      <w:r>
        <w:t xml:space="preserve">The table above isolates five explanatory factors, but the fifth — strategic choice — is the most politically significant. SACEM’s EUR 1.6 billion collections and 10.8% cost ratio demonstrate that transparency and efficiency can coexist at scale</w:t>
      </w:r>
      <w:r>
        <w:t xml:space="preserve"> </w:t>
      </w:r>
      <w:fldSimple w:instr="NOTEREF _Ref_Footnote_150 \h \f">
        <w:r>
          <w:rPr>
            <w:vertAlign w:val="superscript"/>
          </w:rPr>
          <w:t>150</w:t>
        </w:r>
      </w:fldSimple>
      <w:r>
        <w:t xml:space="preserve">. The resources are available. What is missing, in most large CMOs, is the strategic decision to deploy them. This means enforcement — not funding — is the key to improvement. Policymakers who treat transparency as a resource problem (directing capacity-building aid to smaller CMOs) may be solving the wrong problem. The CMOs most in need of external pressure are the best-resourced ones.</w:t>
      </w:r>
    </w:p>
    <w:p>
      <w:pPr>
        <w:pStyle w:val="BodyText"/>
      </w:pPr>
      <w:r>
        <w:t xml:space="preserve">The SACEM Paradox also has a geographical dimension. Central and Eastern European CMOs dramatically outperform expectations: Romania (UCMR-ADA and CREDIDAM), Croatia (HDS-ZAMP), Bulgaria (MUSICAUTOR), Slovakia (SOZA), and the Czech Republic (INTERGRAM) all publish public registries. This contrasts with Western European laggards: Austria (no public registry), Belgium (no public registry), Portugal (no public registry), and Greece (dysfunctional CMO infrastructure following the collapse of AEPI). The compliance narrative is inverted — it is not about Eastern CMOs</w:t>
      </w:r>
      <w:r>
        <w:t xml:space="preserve"> </w:t>
      </w:r>
      <w:r>
        <w:t xml:space="preserve">“</w:t>
      </w:r>
      <w:r>
        <w:t xml:space="preserve">catching up</w:t>
      </w:r>
      <w:r>
        <w:t xml:space="preserve">”</w:t>
      </w:r>
      <w:r>
        <w:t xml:space="preserve"> </w:t>
      </w:r>
      <w:r>
        <w:t xml:space="preserve">but about Western laggards learning from Eastern leaders.</w:t>
      </w:r>
    </w:p>
    <w:p>
      <w:pPr>
        <w:pStyle w:val="BodyText"/>
      </w:pPr>
      <w:r>
        <w:t xml:space="preserve">Why this inversion exists is itself instructive. Post-communist CMOs were restructured more recently, often with modern IT systems installed after 2000 rather than inherited from the 1970s. EU accession conditionality created a compliance culture in which statutory obligations were taken seriously as part of broader institutional reform. Western CMOs, by contrast, operate entrenched legacy systems built decades ago for domestic broadcast and live performance monitoring, long before streaming introduced the scale of cross-border data matching that transparency now requires. The policy implication is direct: capacity-building programmes should look East for models, not West.</w:t>
      </w:r>
    </w:p>
    <w:bookmarkEnd w:id="80"/>
    <w:bookmarkStart w:id="81" w:name="X44fe3ad6075919a0fc5cb9046f530bc36ae7ddc"/>
    <w:p>
      <w:pPr>
        <w:pStyle w:val="Heading3"/>
      </w:pPr>
      <w:r>
        <w:t xml:space="preserve">5.3 The Language Barrier as Market Access Barrier</w:t>
      </w:r>
    </w:p>
    <w:p>
      <w:pPr>
        <w:pStyle w:val="FirstParagraph"/>
      </w:pPr>
      <w:r>
        <w:t xml:space="preserve">The third cross-cutting insight concerns language as a de facto barrier to the EU internal market for music rights. Of the 25 CMO registries assessed for language accessibility, 14 (56%) are available only in the local language</w:t>
      </w:r>
      <w:r>
        <w:t xml:space="preserve"> </w:t>
      </w:r>
      <w:fldSimple w:instr="NOTEREF _Ref_Footnote_1 \h \f">
        <w:r>
          <w:rPr>
            <w:vertAlign w:val="superscript"/>
          </w:rPr>
          <w:t>1</w:t>
        </w:r>
      </w:fldSimple>
      <w:r>
        <w:t xml:space="preserve">. The CRM Directive requires CMOs to make unidentified works information</w:t>
      </w:r>
      <w:r>
        <w:t xml:space="preserve"> </w:t>
      </w:r>
      <w:r>
        <w:t xml:space="preserve">“</w:t>
      </w:r>
      <w:r>
        <w:t xml:space="preserve">available to the public</w:t>
      </w:r>
      <w:r>
        <w:t xml:space="preserve">”</w:t>
      </w:r>
      <w:r>
        <w:t xml:space="preserve"> </w:t>
      </w:r>
      <w:r>
        <w:t xml:space="preserve">but specifies no language in which that public must be addressed</w:t>
      </w:r>
      <w:r>
        <w:t xml:space="preserve"> </w:t>
      </w:r>
      <w:fldSimple w:instr="NOTEREF _Ref_Footnote_2 \h \f">
        <w:r>
          <w:rPr>
            <w:vertAlign w:val="superscript"/>
          </w:rPr>
          <w:t>2</w:t>
        </w:r>
      </w:fldSimple>
      <w:r>
        <w:t xml:space="preserve">. The European Accessibility Act, enforceable from June 2025, covers accessibility for persons with disabilities but does not address multilingual content requirements for CMOs</w:t>
      </w:r>
      <w:r>
        <w:t xml:space="preserve"> </w:t>
      </w:r>
      <w:r>
        <w:rPr>
          <w:vertAlign w:val="superscript"/>
        </w:rPr>
        <w:footnoteReference w:id="152"/>
      </w:r>
      <w:r>
        <w:t xml:space="preserve">. CISAC’s Professional Rules require annual reports in one of three official languages (English, French, Spanish) but impose no multilingual requirement on public unidentified works registries</w:t>
      </w:r>
      <w:r>
        <w:t xml:space="preserve"> </w:t>
      </w:r>
      <w:r>
        <w:rPr>
          <w:vertAlign w:val="superscript"/>
        </w:rPr>
        <w:footnoteReference w:id="153"/>
      </w:r>
      <w:r>
        <w:t xml:space="preserve">. The result is a regulatory void where language choice is left entirely to CMO discretion.</w:t>
      </w:r>
    </w:p>
    <w:p>
      <w:pPr>
        <w:pStyle w:val="BodyText"/>
      </w:pPr>
      <w:r>
        <w:t xml:space="preserve">The practical consequences are substantial. A Hungarian composer whose works are performed in Croatia cannot realistically search the HDS-ZAMP registry, published only in Croatian</w:t>
      </w:r>
      <w:r>
        <w:t xml:space="preserve"> </w:t>
      </w:r>
      <w:fldSimple w:instr="NOTEREF _Ref_Footnote_95 \h \f">
        <w:r>
          <w:rPr>
            <w:vertAlign w:val="superscript"/>
          </w:rPr>
          <w:t>95</w:t>
        </w:r>
      </w:fldSimple>
      <w:r>
        <w:t xml:space="preserve">. A German publisher seeking to claim unmatched royalties from Slovakia must navigate SOZA’s Excel lists in Slovak</w:t>
      </w:r>
      <w:r>
        <w:t xml:space="preserve"> </w:t>
      </w:r>
      <w:r>
        <w:rPr>
          <w:vertAlign w:val="superscript"/>
        </w:rPr>
        <w:footnoteReference w:id="154"/>
      </w:r>
      <w:r>
        <w:t xml:space="preserve">. A French performer checking for neighbouring rights claims in the Czech Republic finds INTERGRAM’s documentation exclusively in Czech</w:t>
      </w:r>
      <w:r>
        <w:t xml:space="preserve"> </w:t>
      </w:r>
      <w:fldSimple w:instr="NOTEREF _Ref_Footnote_63 \h \f">
        <w:r>
          <w:rPr>
            <w:vertAlign w:val="superscript"/>
          </w:rPr>
          <w:t>63</w:t>
        </w:r>
      </w:fldSimple>
      <w:r>
        <w:t xml:space="preserve">. Even where CMOs provide English-language websites, the underlying data files often remain in the local language: MUSICAUTOR Bulgaria’s website has an English interface, but its unidentified works PDFs are in Bulgarian Cyrillic</w:t>
      </w:r>
      <w:r>
        <w:t xml:space="preserve"> </w:t>
      </w:r>
      <w:fldSimple w:instr="NOTEREF _Ref_Footnote_44 \h \f">
        <w:r>
          <w:rPr>
            <w:vertAlign w:val="superscript"/>
          </w:rPr>
          <w:t>44</w:t>
        </w:r>
      </w:fldSimple>
      <w:r>
        <w:t xml:space="preserve">. The Klingner (2021) study on direct memberships in foreign collecting societies confirmed that</w:t>
      </w:r>
      <w:r>
        <w:t xml:space="preserve"> </w:t>
      </w:r>
      <w:r>
        <w:t xml:space="preserve">“</w:t>
      </w:r>
      <w:r>
        <w:t xml:space="preserve">most European CCS only provide application forms in their national language</w:t>
      </w:r>
      <w:r>
        <w:t xml:space="preserve">”</w:t>
      </w:r>
      <w:r>
        <w:t xml:space="preserve"> </w:t>
      </w:r>
      <w:r>
        <w:t xml:space="preserve">and that communication with CMO representatives</w:t>
      </w:r>
      <w:r>
        <w:t xml:space="preserve"> </w:t>
      </w:r>
      <w:r>
        <w:t xml:space="preserve">“</w:t>
      </w:r>
      <w:r>
        <w:t xml:space="preserve">might get even more complicated in a multilingual context</w:t>
      </w:r>
      <w:r>
        <w:t xml:space="preserve">”</w:t>
      </w:r>
      <w:r>
        <w:t xml:space="preserve"> </w:t>
      </w:r>
      <w:fldSimple w:instr="NOTEREF _Ref_Footnote_1 \h \f">
        <w:r>
          <w:rPr>
            <w:vertAlign w:val="superscript"/>
          </w:rPr>
          <w:t>1</w:t>
        </w:r>
      </w:fldSimple>
      <w:r>
        <w:t xml:space="preserve">.</w:t>
      </w:r>
    </w:p>
    <w:p>
      <w:pPr>
        <w:pStyle w:val="BodyText"/>
      </w:pPr>
      <w:r>
        <w:t xml:space="preserve">This fragmentation is structurally perverse. A single Spotify stream in Germany may involve a French composer, a Swedish performer, and a US producer — yet each would need to search national CMO registries in German, French, and Swedish respectively to identify unmatched royalties. No EU-level portal aggregates or translates these registries. The best-performing CMOs on language — SACEM (bilingual ONI), KODA (English/Danish), ZAiKS (English/Polish), and Gramex Finland (trilingual) — demonstrate that multilingual access is technically feasible at modest cost</w:t>
      </w:r>
      <w:r>
        <w:t xml:space="preserve"> </w:t>
      </w:r>
      <w:fldSimple w:instr="NOTEREF _Ref_Footnote_17 \h \f">
        <w:r>
          <w:rPr>
            <w:vertAlign w:val="superscript"/>
          </w:rPr>
          <w:t>17</w:t>
        </w:r>
      </w:fldSimple>
      <w:r>
        <w:t xml:space="preserve"> </w:t>
      </w:r>
      <w:fldSimple w:instr="NOTEREF _Ref_Footnote_47 \h \f">
        <w:r>
          <w:rPr>
            <w:vertAlign w:val="superscript"/>
          </w:rPr>
          <w:t>47</w:t>
        </w:r>
      </w:fldSimple>
      <w:r>
        <w:t xml:space="preserve"> </w:t>
      </w:r>
      <w:fldSimple w:instr="NOTEREF _Ref_Footnote_41 \h \f">
        <w:r>
          <w:rPr>
            <w:vertAlign w:val="superscript"/>
          </w:rPr>
          <w:t>41</w:t>
        </w:r>
      </w:fldSimple>
      <w:r>
        <w:t xml:space="preserve"> </w:t>
      </w:r>
      <w:r>
        <w:rPr>
          <w:vertAlign w:val="superscript"/>
        </w:rPr>
        <w:footnoteReference w:id="155"/>
      </w:r>
      <w:r>
        <w:t xml:space="preserve">. The language gap thus systematically disadvantages smaller-country CMOs and foreign rightsholders, effectively fragmenting the single market for music rights at the identification stage. The economic cost is not merely theoretical: foreign rightsholders facing language barriers typically resort to intermediaries — sub-publishers, direct membership in foreign CMOs, or specialised collection services — each extracting 10–25% of recovered royalties and introducing months or years of delay</w:t>
      </w:r>
      <w:r>
        <w:t xml:space="preserve"> </w:t>
      </w:r>
      <w:fldSimple w:instr="NOTEREF _Ref_Footnote_1 \h \f">
        <w:r>
          <w:rPr>
            <w:vertAlign w:val="superscript"/>
          </w:rPr>
          <w:t>1</w:t>
        </w:r>
      </w:fldSimple>
      <w:r>
        <w:t xml:space="preserve">. Individual creators and small publishers, lacking the resources for such intermediaries, are simply locked out. Whether this constitutes an unacknowledged barrier to the free movement of services under EU law remains untested — no CJEU ruling has examined the question.</w:t>
      </w:r>
    </w:p>
    <w:bookmarkEnd w:id="81"/>
    <w:bookmarkStart w:id="82" w:name="the-enforcement-void"/>
    <w:p>
      <w:pPr>
        <w:pStyle w:val="Heading3"/>
      </w:pPr>
      <w:r>
        <w:t xml:space="preserve">5.4 The Enforcement Void</w:t>
      </w:r>
    </w:p>
    <w:p>
      <w:pPr>
        <w:pStyle w:val="FirstParagraph"/>
      </w:pPr>
      <w:r>
        <w:t xml:space="preserve">The fourth and most fundamental cross-cutting insight is that the entire framework described above operates without enforcement. No CMO has been sanctioned for failure to publish an unidentified works registry. No CJEU ruling has interpreted Article 13(3). No national competent authority (NCA) has issued guidance on what constitutes adequate format, searchability, or language accessibility</w:t>
      </w:r>
      <w:r>
        <w:t xml:space="preserve"> </w:t>
      </w:r>
      <w:fldSimple w:instr="NOTEREF _Ref_Footnote_7 \h \f">
        <w:r>
          <w:rPr>
            <w:vertAlign w:val="superscript"/>
          </w:rPr>
          <w:t>7</w:t>
        </w:r>
      </w:fldSimple>
      <w:r>
        <w:t xml:space="preserve"> </w:t>
      </w:r>
      <w:fldSimple w:instr="NOTEREF _Ref_Footnote_11 \h \f">
        <w:r>
          <w:rPr>
            <w:vertAlign w:val="superscript"/>
          </w:rPr>
          <w:t>11</w:t>
        </w:r>
      </w:fldSimple>
      <w:r>
        <w:t xml:space="preserve">. The EU Commission’s 2021 report on the CRM Directive’s application did not assess Article 13 compliance at all, focusing instead on multi-territorial licensing and governance structures</w:t>
      </w:r>
      <w:r>
        <w:t xml:space="preserve"> </w:t>
      </w:r>
      <w:fldSimple w:instr="NOTEREF _Ref_Footnote_11 \h \f">
        <w:r>
          <w:rPr>
            <w:vertAlign w:val="superscript"/>
          </w:rPr>
          <w:t>11</w:t>
        </w:r>
      </w:fldSimple>
      <w:r>
        <w:t xml:space="preserve">.</w:t>
      </w:r>
    </w:p>
    <w:p>
      <w:pPr>
        <w:pStyle w:val="BodyText"/>
      </w:pPr>
      <w:r>
        <w:t xml:space="preserve">The evidence for this void is not merely negative — it is quantified. The Commission’s accompanying study found that 17% of NCAs (4 of 24) do not verify compliance with Title III requirements at all, and three of those four were not preparing to do so</w:t>
      </w:r>
      <w:r>
        <w:t xml:space="preserve"> </w:t>
      </w:r>
      <w:fldSimple w:instr="NOTEREF _Ref_Footnote_12 \h \f">
        <w:r>
          <w:rPr>
            <w:vertAlign w:val="superscript"/>
          </w:rPr>
          <w:t>12</w:t>
        </w:r>
      </w:fldSimple>
      <w:r>
        <w:t xml:space="preserve">. Cross-border cooperation is effectively nonexistent: only 2 of 22 NCAs had ever used the Article 37 notification procedures to alert counterparts about potential non-compliance</w:t>
      </w:r>
      <w:r>
        <w:t xml:space="preserve"> </w:t>
      </w:r>
      <w:fldSimple w:instr="NOTEREF _Ref_Footnote_12 \h \f">
        <w:r>
          <w:rPr>
            <w:vertAlign w:val="superscript"/>
          </w:rPr>
          <w:t>12</w:t>
        </w:r>
      </w:fldSimple>
      <w:r>
        <w:t xml:space="preserve">. One NCA quoted in the study observed that</w:t>
      </w:r>
      <w:r>
        <w:t xml:space="preserve"> </w:t>
      </w:r>
      <w:r>
        <w:t xml:space="preserve">“</w:t>
      </w:r>
      <w:r>
        <w:t xml:space="preserve">there is no structured consultation and deliberation system between authorities — no EU overarching roof organisation (as exists in the area of data protection law)</w:t>
      </w:r>
      <w:r>
        <w:t xml:space="preserve">”</w:t>
      </w:r>
      <w:r>
        <w:t xml:space="preserve"> </w:t>
      </w:r>
      <w:fldSimple w:instr="NOTEREF _Ref_Footnote_12 \h \f">
        <w:r>
          <w:rPr>
            <w:vertAlign w:val="superscript"/>
          </w:rPr>
          <w:t>12</w:t>
        </w:r>
      </w:fldSimple>
      <w:r>
        <w:t xml:space="preserve">. The comparison with data protection is apt: GDPR enforcement operates through a network of coordinated authorities with the European Data Protection Board at its centre. CRM Directive enforcement has no equivalent.</w:t>
      </w:r>
    </w:p>
    <w:p>
      <w:pPr>
        <w:pStyle w:val="BodyText"/>
      </w:pPr>
      <w:r>
        <w:t xml:space="preserve">The Swiss model offers a stark contrast. Switzerland is not bound by the CRM Directive, yet its Federal Institute of Intellectual Property (IPI) supervises CMOs with a graduated sanctions framework that includes instructions, formal warnings, and — in severe cases — restraint or revocation of authorisation</w:t>
      </w:r>
      <w:r>
        <w:t xml:space="preserve"> </w:t>
      </w:r>
      <w:fldSimple w:instr="NOTEREF _Ref_Footnote_13 \h \f">
        <w:r>
          <w:rPr>
            <w:vertAlign w:val="superscript"/>
          </w:rPr>
          <w:t>13</w:t>
        </w:r>
      </w:fldSimple>
      <w:r>
        <w:t xml:space="preserve"> </w:t>
      </w:r>
      <w:r>
        <w:rPr>
          <w:vertAlign w:val="superscript"/>
        </w:rPr>
        <w:footnoteReference w:id="156"/>
      </w:r>
      <w:r>
        <w:t xml:space="preserve">. SUISA, Switzerland’s music CMO, voluntarily publishes an Inquiry List of unidentified works in four languages (English, German, French, Italian) despite having no EU legal obligation to do so</w:t>
      </w:r>
      <w:r>
        <w:t xml:space="preserve"> </w:t>
      </w:r>
      <w:fldSimple w:instr="NOTEREF _Ref_Footnote_40 \h \f">
        <w:r>
          <w:rPr>
            <w:vertAlign w:val="superscript"/>
          </w:rPr>
          <w:t>40</w:t>
        </w:r>
      </w:fldSimple>
      <w:r>
        <w:t xml:space="preserve">. The Swiss regulatory culture treats CMO supervision as active creator protection; EU NCAs, by and large, treat it as passive box-checking. The difference is not legal framework — it is regulatory culture.</w:t>
      </w:r>
    </w:p>
    <w:p>
      <w:pPr>
        <w:pStyle w:val="BodyText"/>
      </w:pPr>
      <w:r>
        <w:t xml:space="preserve">The implications of this enforcement void extend beyond any single CMO. The three-year reversion rule under Article 13(4) means that unidentified amounts eventually become</w:t>
      </w:r>
      <w:r>
        <w:t xml:space="preserve"> </w:t>
      </w:r>
      <w:r>
        <w:t xml:space="preserve">“</w:t>
      </w:r>
      <w:r>
        <w:t xml:space="preserve">non-distributable</w:t>
      </w:r>
      <w:r>
        <w:t xml:space="preserve">”</w:t>
      </w:r>
      <w:r>
        <w:t xml:space="preserve"> </w:t>
      </w:r>
      <w:r>
        <w:t xml:space="preserve">and are redirected — typically through pro-rata redistribution to existing members or to social and cultural funds. PRS for Music redistributes pro-rata after three years; GEMA transfers unallocated amounts to social and cultural funds; SACEM holds EUR 36.2 million in unallocated amounts</w:t>
      </w:r>
      <w:r>
        <w:t xml:space="preserve"> </w:t>
      </w:r>
      <w:fldSimple w:instr="NOTEREF _Ref_Footnote_61 \h \f">
        <w:r>
          <w:rPr>
            <w:vertAlign w:val="superscript"/>
          </w:rPr>
          <w:t>61</w:t>
        </w:r>
      </w:fldSimple>
      <w:r>
        <w:t xml:space="preserve"> </w:t>
      </w:r>
      <w:fldSimple w:instr="NOTEREF _Ref_Footnote_6 \h \f">
        <w:r>
          <w:rPr>
            <w:vertAlign w:val="superscript"/>
          </w:rPr>
          <w:t>6</w:t>
        </w:r>
      </w:fldSimple>
      <w:r>
        <w:t xml:space="preserve"> </w:t>
      </w:r>
      <w:fldSimple w:instr="NOTEREF _Ref_Footnote_17 \h \f">
        <w:r>
          <w:rPr>
            <w:vertAlign w:val="superscript"/>
          </w:rPr>
          <w:t>17</w:t>
        </w:r>
      </w:fldSimple>
      <w:r>
        <w:t xml:space="preserve">. NCB holds DKK 112.6 million (approximately EUR 15 million)</w:t>
      </w:r>
      <w:r>
        <w:t xml:space="preserve"> </w:t>
      </w:r>
      <w:r>
        <w:rPr>
          <w:vertAlign w:val="superscript"/>
        </w:rPr>
        <w:footnoteReference w:id="157"/>
      </w:r>
      <w:r>
        <w:t xml:space="preserve">. Extrapolated across 60+ CMOs, the European total is estimated at EUR 100–300 million or more. No CMO publishes identification success rates, so the efficiency of the identification process cannot be assessed by external observers.</w:t>
      </w:r>
    </w:p>
    <w:p>
      <w:pPr>
        <w:pStyle w:val="BodyText"/>
      </w:pPr>
      <w:r>
        <w:t xml:space="preserve">Without enforcement, this wealth transfer operates silently and systematically. CMOs are structurally incentivised to maintain opacity: the more funds that revert, the more existing members benefit from pro-rata redistribution. Non-transparent registries serve this incentive structure by reducing the probability that foreign or disorganised rightsholders will claim their entitlements before the three-year deadline expires. The conflict of interest is inherent in the governance model, and only external enforcement or governance reform can break the cycle. The Swiss IPI’s graduated sanctions — from instructions through warnings to authorisation revocation — prove that the tools exist and function without disrupting the market. What is absent in the EU is the will to use them.</w:t>
      </w:r>
    </w:p>
    <w:p>
      <w:pPr>
        <w:pStyle w:val="BodyText"/>
      </w:pPr>
      <w:r>
        <w:t xml:space="preserve">The four insights above share a common thread. Each identifies a structural failure — architectural, institutional, linguistic, and regulatory — that permits opacity to persist not despite the framework, but within it. The Directive’s flexibility on format, its silence on language, its pre-digital design assumptions, and its lack of enforcement mechanisms together create a compliance environment where the minimum viable effort is typically the path of least resistance. Where excellence exists — SACEM’s ONI, NCB’s Excel list, SUISA’s voluntary Inquiry List, ZAiKS’s bilingual search — it is the product of individual institutional choice rather than systemic design. For policymakers, this means the EU does not necessarily need new legislation; it needs the enforcement of existing law, the closure of hub-sized loopholes, and the political will to treat creator transparency as a non-negotiable feature of the internal market.</w:t>
      </w:r>
    </w:p>
    <w:p>
      <w:r>
        <w:pict>
          <v:rect style="width:0;height:1.5pt" o:hralign="center" o:hrstd="t" o:hr="t"/>
        </w:pict>
      </w:r>
    </w:p>
    <w:bookmarkEnd w:id="82"/>
    <w:bookmarkEnd w:id="83"/>
    <w:bookmarkStart w:id="93" w:name="conclusions-and-recommendations"/>
    <w:p>
      <w:pPr>
        <w:pStyle w:val="Heading2"/>
      </w:pPr>
      <w:r>
        <w:t xml:space="preserve">6. Conclusions and Recommendations</w:t>
      </w:r>
    </w:p>
    <w:bookmarkStart w:id="86" w:name="synthesis"/>
    <w:p>
      <w:pPr>
        <w:pStyle w:val="Heading3"/>
      </w:pPr>
      <w:r>
        <w:t xml:space="preserve">6.1 Synthesis</w:t>
      </w:r>
    </w:p>
    <w:bookmarkStart w:id="84" w:name="the-state-of-article-13-compliance"/>
    <w:p>
      <w:pPr>
        <w:pStyle w:val="Heading4"/>
      </w:pPr>
      <w:r>
        <w:t xml:space="preserve">6.1.1 The State of Article 13 Compliance</w:t>
      </w:r>
    </w:p>
    <w:p>
      <w:pPr>
        <w:pStyle w:val="FirstParagraph"/>
      </w:pPr>
      <w:r>
        <w:t xml:space="preserve">This report examined unidentified works registry practices across 62 Collective Management Organisations in 31 European jurisdictions. The findings point to a three-tier compliance structure. Approximately</w:t>
      </w:r>
      <w:r>
        <w:t xml:space="preserve"> </w:t>
      </w:r>
      <w:r>
        <w:rPr>
          <w:bCs/>
          <w:b/>
        </w:rPr>
        <w:t xml:space="preserve">30% of CMOs</w:t>
      </w:r>
      <w:r>
        <w:t xml:space="preserve"> </w:t>
      </w:r>
      <w:r>
        <w:t xml:space="preserve">achieve substantive compliance — operating public, searchable registries that a rightsholder could realistically use to locate and claim unmatched works</w:t>
      </w:r>
      <w:r>
        <w:t xml:space="preserve"> </w:t>
      </w:r>
      <w:fldSimple w:instr="NOTEREF _Ref_Footnote_17 \h \f">
        <w:r>
          <w:rPr>
            <w:vertAlign w:val="superscript"/>
          </w:rPr>
          <w:t>17</w:t>
        </w:r>
      </w:fldSimple>
      <w:r>
        <w:t xml:space="preserve"> </w:t>
      </w:r>
      <w:fldSimple w:instr="NOTEREF _Ref_Footnote_41 \h \f">
        <w:r>
          <w:rPr>
            <w:vertAlign w:val="superscript"/>
          </w:rPr>
          <w:t>41</w:t>
        </w:r>
      </w:fldSimple>
      <w:r>
        <w:t xml:space="preserve"> </w:t>
      </w:r>
      <w:fldSimple w:instr="NOTEREF _Ref_Footnote_47 \h \f">
        <w:r>
          <w:rPr>
            <w:vertAlign w:val="superscript"/>
          </w:rPr>
          <w:t>47</w:t>
        </w:r>
      </w:fldSimple>
      <w:r>
        <w:t xml:space="preserve">. SACEM’s ONI portal in France, ZAiKS’s bilingual search in Poland, KODA’s interactive database in Denmark, and UCMR-ADA’s eight-year archive of monthly PDFs in Romania exemplify this tier</w:t>
      </w:r>
      <w:r>
        <w:t xml:space="preserve"> </w:t>
      </w:r>
      <w:fldSimple w:instr="NOTEREF _Ref_Footnote_17 \h \f">
        <w:r>
          <w:rPr>
            <w:vertAlign w:val="superscript"/>
          </w:rPr>
          <w:t>17</w:t>
        </w:r>
      </w:fldSimple>
      <w:r>
        <w:t xml:space="preserve"> </w:t>
      </w:r>
      <w:fldSimple w:instr="NOTEREF _Ref_Footnote_41 \h \f">
        <w:r>
          <w:rPr>
            <w:vertAlign w:val="superscript"/>
          </w:rPr>
          <w:t>41</w:t>
        </w:r>
      </w:fldSimple>
      <w:r>
        <w:t xml:space="preserve"> </w:t>
      </w:r>
      <w:fldSimple w:instr="NOTEREF _Ref_Footnote_47 \h \f">
        <w:r>
          <w:rPr>
            <w:vertAlign w:val="superscript"/>
          </w:rPr>
          <w:t>47</w:t>
        </w:r>
      </w:fldSimple>
      <w:r>
        <w:t xml:space="preserve"> </w:t>
      </w:r>
      <w:fldSimple w:instr="NOTEREF _Ref_Footnote_3 \h \f">
        <w:r>
          <w:rPr>
            <w:vertAlign w:val="superscript"/>
          </w:rPr>
          <w:t>3</w:t>
        </w:r>
      </w:fldSimple>
      <w:r>
        <w:t xml:space="preserve">. These CMOs demonstrate that compliance is achievable across diverse market sizes and IT maturity levels.</w:t>
      </w:r>
    </w:p>
    <w:p>
      <w:pPr>
        <w:pStyle w:val="BodyText"/>
      </w:pPr>
      <w:r>
        <w:t xml:space="preserve">Approximately</w:t>
      </w:r>
      <w:r>
        <w:t xml:space="preserve"> </w:t>
      </w:r>
      <w:r>
        <w:rPr>
          <w:bCs/>
          <w:b/>
        </w:rPr>
        <w:t xml:space="preserve">25% of CMOs</w:t>
      </w:r>
      <w:r>
        <w:t xml:space="preserve"> </w:t>
      </w:r>
      <w:r>
        <w:t xml:space="preserve">occupy a formal compliance tier — they maintain unidentified works data but restrict it to members-only portals, non-searchable PDFs, or email-on-request mechanisms that satisfy the statutory minimum without delivering functional transparency</w:t>
      </w:r>
      <w:r>
        <w:t xml:space="preserve"> </w:t>
      </w:r>
      <w:fldSimple w:instr="NOTEREF _Ref_Footnote_6 \h \f">
        <w:r>
          <w:rPr>
            <w:vertAlign w:val="superscript"/>
          </w:rPr>
          <w:t>6</w:t>
        </w:r>
      </w:fldSimple>
      <w:r>
        <w:t xml:space="preserve"> </w:t>
      </w:r>
      <w:fldSimple w:instr="NOTEREF _Ref_Footnote_42 \h \f">
        <w:r>
          <w:rPr>
            <w:vertAlign w:val="superscript"/>
          </w:rPr>
          <w:t>42</w:t>
        </w:r>
      </w:fldSimple>
      <w:r>
        <w:t xml:space="preserve"> </w:t>
      </w:r>
      <w:fldSimple w:instr="NOTEREF _Ref_Footnote_127 \h \f">
        <w:r>
          <w:rPr>
            <w:vertAlign w:val="superscript"/>
          </w:rPr>
          <w:t>127</w:t>
        </w:r>
      </w:fldSimple>
      <w:r>
        <w:t xml:space="preserve">. The Directive’s deliberate flexibility on format permits this: a non-searchable PDF and a real-time interactive web search are treated as equally compliant in law</w:t>
      </w:r>
      <w:r>
        <w:t xml:space="preserve"> </w:t>
      </w:r>
      <w:fldSimple w:instr="NOTEREF _Ref_Footnote_2 \h \f">
        <w:r>
          <w:rPr>
            <w:vertAlign w:val="superscript"/>
          </w:rPr>
          <w:t>2</w:t>
        </w:r>
      </w:fldSimple>
      <w:r>
        <w:t xml:space="preserve"> </w:t>
      </w:r>
      <w:fldSimple w:instr="NOTEREF _Ref_Footnote_11 \h \f">
        <w:r>
          <w:rPr>
            <w:vertAlign w:val="superscript"/>
          </w:rPr>
          <w:t>11</w:t>
        </w:r>
      </w:fldSimple>
      <w:r>
        <w:t xml:space="preserve">.</w:t>
      </w:r>
    </w:p>
    <w:p>
      <w:pPr>
        <w:pStyle w:val="BodyText"/>
      </w:pPr>
      <w:r>
        <w:t xml:space="preserve">The remaining</w:t>
      </w:r>
      <w:r>
        <w:t xml:space="preserve"> </w:t>
      </w:r>
      <w:r>
        <w:rPr>
          <w:bCs/>
          <w:b/>
        </w:rPr>
        <w:t xml:space="preserve">45% of CMOs</w:t>
      </w:r>
      <w:r>
        <w:t xml:space="preserve"> </w:t>
      </w:r>
      <w:r>
        <w:t xml:space="preserve">show no identifiable public registry at all</w:t>
      </w:r>
      <w:r>
        <w:t xml:space="preserve"> </w:t>
      </w:r>
      <w:fldSimple w:instr="NOTEREF _Ref_Footnote_1 \h \f">
        <w:r>
          <w:rPr>
            <w:vertAlign w:val="superscript"/>
          </w:rPr>
          <w:t>1</w:t>
        </w:r>
      </w:fldSimple>
      <w:r>
        <w:t xml:space="preserve">. This group includes major markets — Austria (AKM), Belgium (SABAM), Portugal (SPA), and Greece (AUTODIA) — alongside the majority of neighbouring rights CMOs across all regions</w:t>
      </w:r>
      <w:r>
        <w:t xml:space="preserve"> </w:t>
      </w:r>
      <w:fldSimple w:instr="NOTEREF _Ref_Footnote_19 \h \f">
        <w:r>
          <w:rPr>
            <w:vertAlign w:val="superscript"/>
          </w:rPr>
          <w:t>19</w:t>
        </w:r>
      </w:fldSimple>
      <w:r>
        <w:t xml:space="preserve"> </w:t>
      </w:r>
      <w:fldSimple w:instr="NOTEREF _Ref_Footnote_25 \h \f">
        <w:r>
          <w:rPr>
            <w:vertAlign w:val="superscript"/>
          </w:rPr>
          <w:t>25</w:t>
        </w:r>
      </w:fldSimple>
      <w:r>
        <w:t xml:space="preserve"> </w:t>
      </w:r>
      <w:fldSimple w:instr="NOTEREF _Ref_Footnote_57 \h \f">
        <w:r>
          <w:rPr>
            <w:vertAlign w:val="superscript"/>
          </w:rPr>
          <w:t>57</w:t>
        </w:r>
      </w:fldSimple>
      <w:r>
        <w:t xml:space="preserve"> </w:t>
      </w:r>
      <w:fldSimple w:instr="NOTEREF _Ref_Footnote_45 \h \f">
        <w:r>
          <w:rPr>
            <w:vertAlign w:val="superscript"/>
          </w:rPr>
          <w:t>45</w:t>
        </w:r>
      </w:fldSimple>
      <w:r>
        <w:t xml:space="preserve">. For rightsholders whose works are used in these territories, no self-service pathway exists to discover unidentified royalties.</w:t>
      </w:r>
    </w:p>
    <w:bookmarkEnd w:id="84"/>
    <w:bookmarkStart w:id="85" w:name="Xd40106b1648879613308182e9a23252f0c751df"/>
    <w:p>
      <w:pPr>
        <w:pStyle w:val="Heading4"/>
      </w:pPr>
      <w:r>
        <w:t xml:space="preserve">6.1.2 The Core Problem: Enforcement Absence and Format Ambiguity</w:t>
      </w:r>
    </w:p>
    <w:p>
      <w:pPr>
        <w:pStyle w:val="FirstParagraph"/>
      </w:pPr>
      <w:r>
        <w:t xml:space="preserve">The compliance deficit is not primarily a legal deficiency. Directive 2014/26/EU contains the necessary obligations: the 33-month maximum timeline from collection to public publication, the separation of unidentified funds, and the progressive disclosure cascade from internal verification through inter-CMO sharing to public access</w:t>
      </w:r>
      <w:r>
        <w:t xml:space="preserve"> </w:t>
      </w:r>
      <w:fldSimple w:instr="NOTEREF _Ref_Footnote_2 \h \f">
        <w:r>
          <w:rPr>
            <w:vertAlign w:val="superscript"/>
          </w:rPr>
          <w:t>2</w:t>
        </w:r>
      </w:fldSimple>
      <w:r>
        <w:t xml:space="preserve">. The problem is that these obligations operate without enforcement.</w:t>
      </w:r>
    </w:p>
    <w:p>
      <w:pPr>
        <w:pStyle w:val="BodyText"/>
      </w:pPr>
      <w:r>
        <w:t xml:space="preserve">No CMO has been sanctioned for failure to publish an unidentified works registry anywhere in the European Union</w:t>
      </w:r>
      <w:r>
        <w:t xml:space="preserve"> </w:t>
      </w:r>
      <w:fldSimple w:instr="NOTEREF _Ref_Footnote_7 \h \f">
        <w:r>
          <w:rPr>
            <w:vertAlign w:val="superscript"/>
          </w:rPr>
          <w:t>7</w:t>
        </w:r>
      </w:fldSimple>
      <w:r>
        <w:t xml:space="preserve">. No CJEU ruling has interpreted Article 13(3). No national competent authority has issued guidance on what constitutes adequate format, searchability, or language accessibility</w:t>
      </w:r>
      <w:r>
        <w:t xml:space="preserve"> </w:t>
      </w:r>
      <w:fldSimple w:instr="NOTEREF _Ref_Footnote_7 \h \f">
        <w:r>
          <w:rPr>
            <w:vertAlign w:val="superscript"/>
          </w:rPr>
          <w:t>7</w:t>
        </w:r>
      </w:fldSimple>
      <w:r>
        <w:t xml:space="preserve"> </w:t>
      </w:r>
      <w:fldSimple w:instr="NOTEREF _Ref_Footnote_11 \h \f">
        <w:r>
          <w:rPr>
            <w:vertAlign w:val="superscript"/>
          </w:rPr>
          <w:t>11</w:t>
        </w:r>
      </w:fldSimple>
      <w:r>
        <w:t xml:space="preserve">. The Commission’s 2021 implementation report did not assess Article 13 compliance at all</w:t>
      </w:r>
      <w:r>
        <w:t xml:space="preserve"> </w:t>
      </w:r>
      <w:fldSimple w:instr="NOTEREF _Ref_Footnote_11 \h \f">
        <w:r>
          <w:rPr>
            <w:vertAlign w:val="superscript"/>
          </w:rPr>
          <w:t>11</w:t>
        </w:r>
      </w:fldSimple>
      <w:r>
        <w:t xml:space="preserve">. When 17% of NCAs admit they do not verify Title III compliance and have no plans to begin, the enforcement void is a structural feature of the landscape</w:t>
      </w:r>
      <w:r>
        <w:t xml:space="preserve"> </w:t>
      </w:r>
      <w:fldSimple w:instr="NOTEREF _Ref_Footnote_12 \h \f">
        <w:r>
          <w:rPr>
            <w:vertAlign w:val="superscript"/>
          </w:rPr>
          <w:t>12</w:t>
        </w:r>
      </w:fldSimple>
      <w:r>
        <w:t xml:space="preserve">.</w:t>
      </w:r>
    </w:p>
    <w:p>
      <w:pPr>
        <w:pStyle w:val="BodyText"/>
      </w:pPr>
      <w:r>
        <w:t xml:space="preserve">Format ambiguity compounds this absence. Article 13(3) requires CMOs to</w:t>
      </w:r>
      <w:r>
        <w:t xml:space="preserve"> </w:t>
      </w:r>
      <w:r>
        <w:t xml:space="preserve">“</w:t>
      </w:r>
      <w:r>
        <w:t xml:space="preserve">make that information available to the public</w:t>
      </w:r>
      <w:r>
        <w:t xml:space="preserve">”</w:t>
      </w:r>
      <w:r>
        <w:t xml:space="preserve"> </w:t>
      </w:r>
      <w:r>
        <w:t xml:space="preserve">without specifying technical format, searchability, language, update frequency, or accessibility standards</w:t>
      </w:r>
      <w:r>
        <w:t xml:space="preserve"> </w:t>
      </w:r>
      <w:fldSimple w:instr="NOTEREF _Ref_Footnote_2 \h \f">
        <w:r>
          <w:rPr>
            <w:vertAlign w:val="superscript"/>
          </w:rPr>
          <w:t>2</w:t>
        </w:r>
      </w:fldSimple>
      <w:r>
        <w:t xml:space="preserve"> </w:t>
      </w:r>
      <w:fldSimple w:instr="NOTEREF _Ref_Footnote_11 \h \f">
        <w:r>
          <w:rPr>
            <w:vertAlign w:val="superscript"/>
          </w:rPr>
          <w:t>11</w:t>
        </w:r>
      </w:fldSimple>
      <w:r>
        <w:t xml:space="preserve">. The result is what this report terms the</w:t>
      </w:r>
      <w:r>
        <w:t xml:space="preserve"> </w:t>
      </w:r>
      <w:r>
        <w:t xml:space="preserve">“</w:t>
      </w:r>
      <w:r>
        <w:t xml:space="preserve">transparency report illusion</w:t>
      </w:r>
      <w:r>
        <w:t xml:space="preserve">”</w:t>
      </w:r>
      <w:r>
        <w:t xml:space="preserve"> </w:t>
      </w:r>
      <w:r>
        <w:t xml:space="preserve">— CMOs can satisfy both Article 13 and Article 22 while providing practically zero usable information</w:t>
      </w:r>
      <w:r>
        <w:t xml:space="preserve"> </w:t>
      </w:r>
      <w:fldSimple w:instr="NOTEREF _Ref_Footnote_7 \h \f">
        <w:r>
          <w:rPr>
            <w:vertAlign w:val="superscript"/>
          </w:rPr>
          <w:t>7</w:t>
        </w:r>
      </w:fldSimple>
      <w:r>
        <w:t xml:space="preserve">.</w:t>
      </w:r>
    </w:p>
    <w:p>
      <w:pPr>
        <w:pStyle w:val="BodyText"/>
      </w:pPr>
      <w:r>
        <w:t xml:space="preserve">Three structural failures reinforce this core problem. The</w:t>
      </w:r>
      <w:r>
        <w:t xml:space="preserve"> </w:t>
      </w:r>
      <w:r>
        <w:rPr>
          <w:bCs/>
          <w:b/>
        </w:rPr>
        <w:t xml:space="preserve">accountability vacuum at scale</w:t>
      </w:r>
      <w:r>
        <w:t xml:space="preserve"> </w:t>
      </w:r>
      <w:r>
        <w:t xml:space="preserve">means ICE Services — processing 55 million works for 250+ territories and handling the majority of European digital music streams — has no legal obligation to publish unidentified works data</w:t>
      </w:r>
      <w:r>
        <w:t xml:space="preserve"> </w:t>
      </w:r>
      <w:fldSimple w:instr="NOTEREF _Ref_Footnote_10 \h \f">
        <w:r>
          <w:rPr>
            <w:vertAlign w:val="superscript"/>
          </w:rPr>
          <w:t>10</w:t>
        </w:r>
      </w:fldSimple>
      <w:r>
        <w:t xml:space="preserve"> </w:t>
      </w:r>
      <w:fldSimple w:instr="NOTEREF _Ref_Footnote_14 \h \f">
        <w:r>
          <w:rPr>
            <w:vertAlign w:val="superscript"/>
          </w:rPr>
          <w:t>14</w:t>
        </w:r>
      </w:fldSimple>
      <w:r>
        <w:t xml:space="preserve">. The</w:t>
      </w:r>
      <w:r>
        <w:t xml:space="preserve"> </w:t>
      </w:r>
      <w:r>
        <w:rPr>
          <w:bCs/>
          <w:b/>
        </w:rPr>
        <w:t xml:space="preserve">neighbouring rights transparency desert</w:t>
      </w:r>
      <w:r>
        <w:t xml:space="preserve"> </w:t>
      </w:r>
      <w:r>
        <w:t xml:space="preserve">reflects systemic infrastructure bias: ISWC adoption stands at 87% while performer identifiers range from 7% to 73%, and ICE exclusively serves authors’ rights</w:t>
      </w:r>
      <w:r>
        <w:t xml:space="preserve"> </w:t>
      </w:r>
      <w:fldSimple w:instr="NOTEREF _Ref_Footnote_8 \h \f">
        <w:r>
          <w:rPr>
            <w:vertAlign w:val="superscript"/>
          </w:rPr>
          <w:t>8</w:t>
        </w:r>
      </w:fldSimple>
      <w:r>
        <w:t xml:space="preserve"> </w:t>
      </w:r>
      <w:fldSimple w:instr="NOTEREF _Ref_Footnote_7 \h \f">
        <w:r>
          <w:rPr>
            <w:vertAlign w:val="superscript"/>
          </w:rPr>
          <w:t>7</w:t>
        </w:r>
      </w:fldSimple>
      <w:r>
        <w:t xml:space="preserve">. The</w:t>
      </w:r>
      <w:r>
        <w:t xml:space="preserve"> </w:t>
      </w:r>
      <w:r>
        <w:rPr>
          <w:bCs/>
          <w:b/>
        </w:rPr>
        <w:t xml:space="preserve">language barrier</w:t>
      </w:r>
      <w:r>
        <w:t xml:space="preserve"> </w:t>
      </w:r>
      <w:r>
        <w:t xml:space="preserve">— 56% of registries local-language only — fragments the EU internal market for music rights</w:t>
      </w:r>
      <w:r>
        <w:t xml:space="preserve"> </w:t>
      </w:r>
      <w:fldSimple w:instr="NOTEREF _Ref_Footnote_1 \h \f">
        <w:r>
          <w:rPr>
            <w:vertAlign w:val="superscript"/>
          </w:rPr>
          <w:t>1</w:t>
        </w:r>
      </w:fldSimple>
      <w:r>
        <w:t xml:space="preserve">.</w:t>
      </w:r>
    </w:p>
    <w:p>
      <w:pPr>
        <w:pStyle w:val="BodyText"/>
      </w:pPr>
      <w:r>
        <w:t xml:space="preserve">The Swiss model demonstrates these problems are solvable. Switzerland is not EU-bound, yet its Federal Institute of Intellectual Property supervises CMOs with graduated sanctions including licence revocation, while SUISA voluntarily publishes an inquiry list in four languages</w:t>
      </w:r>
      <w:r>
        <w:t xml:space="preserve"> </w:t>
      </w:r>
      <w:fldSimple w:instr="NOTEREF _Ref_Footnote_13 \h \f">
        <w:r>
          <w:rPr>
            <w:vertAlign w:val="superscript"/>
          </w:rPr>
          <w:t>13</w:t>
        </w:r>
      </w:fldSimple>
      <w:r>
        <w:t xml:space="preserve"> </w:t>
      </w:r>
      <w:fldSimple w:instr="NOTEREF _Ref_Footnote_156 \h \f">
        <w:r>
          <w:rPr>
            <w:vertAlign w:val="superscript"/>
          </w:rPr>
          <w:t>156</w:t>
        </w:r>
      </w:fldSimple>
      <w:r>
        <w:t xml:space="preserve"> </w:t>
      </w:r>
      <w:fldSimple w:instr="NOTEREF _Ref_Footnote_40 \h \f">
        <w:r>
          <w:rPr>
            <w:vertAlign w:val="superscript"/>
          </w:rPr>
          <w:t>40</w:t>
        </w:r>
      </w:fldSimple>
      <w:r>
        <w:t xml:space="preserve">. The difference is not legal architecture — it is regulatory culture and the will to enforce.</w:t>
      </w:r>
    </w:p>
    <w:bookmarkEnd w:id="85"/>
    <w:bookmarkEnd w:id="86"/>
    <w:bookmarkStart w:id="92" w:name="recommendations"/>
    <w:p>
      <w:pPr>
        <w:pStyle w:val="Heading3"/>
      </w:pPr>
      <w:r>
        <w:t xml:space="preserve">6.2 Recommendations</w:t>
      </w:r>
    </w:p>
    <w:bookmarkStart w:id="87" w:name="recommendations-by-stakeholder"/>
    <w:p>
      <w:pPr>
        <w:pStyle w:val="Heading4"/>
      </w:pPr>
      <w:r>
        <w:t xml:space="preserve">6.2.1 Recommendations by Stakeholder</w:t>
      </w:r>
    </w:p>
    <w:p>
      <w:pPr>
        <w:pStyle w:val="FirstParagraph"/>
      </w:pPr>
      <w:r>
        <w:t xml:space="preserve">The following table presents actionable recommendations across four stakeholder categories, prioritised by feasibility and expected impact.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Stakeholder</w:t>
            </w:r>
          </w:p>
        </w:tc>
        <w:tc>
          <w:tcPr/>
          <w:p>
            <w:pPr>
              <w:pStyle w:val="Compact"/>
              <w:jc w:val="left"/>
            </w:pPr>
            <w:r>
              <w:t xml:space="preserve">Priority Action</w:t>
            </w:r>
          </w:p>
        </w:tc>
        <w:tc>
          <w:tcPr/>
          <w:p>
            <w:pPr>
              <w:pStyle w:val="Compact"/>
              <w:jc w:val="left"/>
            </w:pPr>
            <w:r>
              <w:t xml:space="preserve">Expected Impact</w:t>
            </w:r>
          </w:p>
        </w:tc>
        <w:tc>
          <w:tcPr/>
          <w:p>
            <w:pPr>
              <w:pStyle w:val="Compact"/>
              <w:jc w:val="left"/>
            </w:pPr>
            <w:r>
              <w:t xml:space="preserve">Implementation Horizon</w:t>
            </w:r>
          </w:p>
        </w:tc>
        <w:tc>
          <w:tcPr/>
          <w:p>
            <w:pPr>
              <w:pStyle w:val="Compact"/>
              <w:jc w:val="left"/>
            </w:pPr>
            <w:r>
              <w:t xml:space="preserve">Key Obstacle</w:t>
            </w:r>
          </w:p>
        </w:tc>
      </w:tr>
      <w:tr>
        <w:tc>
          <w:tcPr/>
          <w:p>
            <w:pPr>
              <w:pStyle w:val="Compact"/>
              <w:jc w:val="left"/>
            </w:pPr>
            <w:r>
              <w:rPr>
                <w:bCs/>
                <w:b/>
              </w:rPr>
              <w:t xml:space="preserve">EU Commission</w:t>
            </w:r>
          </w:p>
        </w:tc>
        <w:tc>
          <w:tcPr/>
          <w:p>
            <w:pPr>
              <w:pStyle w:val="Compact"/>
              <w:jc w:val="left"/>
            </w:pPr>
            <w:r>
              <w:t xml:space="preserve">Define minimum format standards for Art. 13 publication (searchable, machine-readable, multilingual)</w:t>
            </w:r>
          </w:p>
        </w:tc>
        <w:tc>
          <w:tcPr/>
          <w:p>
            <w:pPr>
              <w:pStyle w:val="Compact"/>
              <w:jc w:val="left"/>
            </w:pPr>
            <w:r>
              <w:t xml:space="preserve">High — closes formal-substantive compliance gap</w:t>
            </w:r>
          </w:p>
        </w:tc>
        <w:tc>
          <w:tcPr/>
          <w:p>
            <w:pPr>
              <w:pStyle w:val="Compact"/>
              <w:jc w:val="left"/>
            </w:pPr>
            <w:r>
              <w:t xml:space="preserve">12–18 months (delegated act)</w:t>
            </w:r>
          </w:p>
        </w:tc>
        <w:tc>
          <w:tcPr/>
          <w:p>
            <w:pPr>
              <w:pStyle w:val="Compact"/>
              <w:jc w:val="left"/>
            </w:pPr>
            <w:r>
              <w:t xml:space="preserve">Proportionality concerns from smaller CMOs</w:t>
            </w:r>
          </w:p>
        </w:tc>
      </w:tr>
      <w:tr>
        <w:tc>
          <w:tcPr/>
          <w:p>
            <w:pPr>
              <w:pStyle w:val="Compact"/>
              <w:jc w:val="left"/>
            </w:pPr>
            <w:r>
              <w:rPr>
                <w:bCs/>
                <w:b/>
              </w:rPr>
              <w:t xml:space="preserve">EU Commission</w:t>
            </w:r>
          </w:p>
        </w:tc>
        <w:tc>
          <w:tcPr/>
          <w:p>
            <w:pPr>
              <w:pStyle w:val="Compact"/>
              <w:jc w:val="left"/>
            </w:pPr>
            <w:r>
              <w:t xml:space="preserve">Clarify that centralised hubs (ICE, NMP) with de facto CMO functions bear parallel transparency obligations</w:t>
            </w:r>
          </w:p>
        </w:tc>
        <w:tc>
          <w:tcPr/>
          <w:p>
            <w:pPr>
              <w:pStyle w:val="Compact"/>
              <w:jc w:val="left"/>
            </w:pPr>
            <w:r>
              <w:t xml:space="preserve">Very high — addresses accountability vacuum for digital streams</w:t>
            </w:r>
          </w:p>
        </w:tc>
        <w:tc>
          <w:tcPr/>
          <w:p>
            <w:pPr>
              <w:pStyle w:val="Compact"/>
              <w:jc w:val="left"/>
            </w:pPr>
            <w:r>
              <w:t xml:space="preserve">24–36 months (Directive amendment or CJEU referral)</w:t>
            </w:r>
          </w:p>
        </w:tc>
        <w:tc>
          <w:tcPr/>
          <w:p>
            <w:pPr>
              <w:pStyle w:val="Compact"/>
              <w:jc w:val="left"/>
            </w:pPr>
            <w:r>
              <w:t xml:space="preserve">Industry resistance; jurisdictional complexity</w:t>
            </w:r>
          </w:p>
        </w:tc>
      </w:tr>
      <w:tr>
        <w:tc>
          <w:tcPr/>
          <w:p>
            <w:pPr>
              <w:pStyle w:val="Compact"/>
              <w:jc w:val="left"/>
            </w:pPr>
            <w:r>
              <w:rPr>
                <w:bCs/>
                <w:b/>
              </w:rPr>
              <w:t xml:space="preserve">EU Commission</w:t>
            </w:r>
          </w:p>
        </w:tc>
        <w:tc>
          <w:tcPr/>
          <w:p>
            <w:pPr>
              <w:pStyle w:val="Compact"/>
              <w:jc w:val="left"/>
            </w:pPr>
            <w:r>
              <w:t xml:space="preserve">Mandate multilingual access (local language + English minimum) for all Art. 13 registries</w:t>
            </w:r>
          </w:p>
        </w:tc>
        <w:tc>
          <w:tcPr/>
          <w:p>
            <w:pPr>
              <w:pStyle w:val="Compact"/>
              <w:jc w:val="left"/>
            </w:pPr>
            <w:r>
              <w:t xml:space="preserve">High — removes language barrier as market access obstacle</w:t>
            </w:r>
          </w:p>
        </w:tc>
        <w:tc>
          <w:tcPr/>
          <w:p>
            <w:pPr>
              <w:pStyle w:val="Compact"/>
              <w:jc w:val="left"/>
            </w:pPr>
            <w:r>
              <w:t xml:space="preserve">12–18 months (guidance)</w:t>
            </w:r>
          </w:p>
        </w:tc>
        <w:tc>
          <w:tcPr/>
          <w:p>
            <w:pPr>
              <w:pStyle w:val="Compact"/>
              <w:jc w:val="left"/>
            </w:pPr>
            <w:r>
              <w:t xml:space="preserve">Member State competence concerns</w:t>
            </w:r>
          </w:p>
        </w:tc>
      </w:tr>
      <w:tr>
        <w:tc>
          <w:tcPr/>
          <w:p>
            <w:pPr>
              <w:pStyle w:val="Compact"/>
              <w:jc w:val="left"/>
            </w:pPr>
            <w:r>
              <w:rPr>
                <w:bCs/>
                <w:b/>
              </w:rPr>
              <w:t xml:space="preserve">EU Commission</w:t>
            </w:r>
          </w:p>
        </w:tc>
        <w:tc>
          <w:tcPr/>
          <w:p>
            <w:pPr>
              <w:pStyle w:val="Compact"/>
              <w:jc w:val="left"/>
            </w:pPr>
            <w:r>
              <w:t xml:space="preserve">Include Art. 13 compliance assessment in next CRM Directive evaluation report</w:t>
            </w:r>
          </w:p>
        </w:tc>
        <w:tc>
          <w:tcPr/>
          <w:p>
            <w:pPr>
              <w:pStyle w:val="Compact"/>
              <w:jc w:val="left"/>
            </w:pPr>
            <w:r>
              <w:t xml:space="preserve">High — creates accountability mechanism</w:t>
            </w:r>
          </w:p>
        </w:tc>
        <w:tc>
          <w:tcPr/>
          <w:p>
            <w:pPr>
              <w:pStyle w:val="Compact"/>
              <w:jc w:val="left"/>
            </w:pPr>
            <w:r>
              <w:t xml:space="preserve">24 months</w:t>
            </w:r>
          </w:p>
        </w:tc>
        <w:tc>
          <w:tcPr/>
          <w:p>
            <w:pPr>
              <w:pStyle w:val="Compact"/>
              <w:jc w:val="left"/>
            </w:pPr>
            <w:r>
              <w:t xml:space="preserve">Resource allocation for data collection</w:t>
            </w:r>
          </w:p>
        </w:tc>
      </w:tr>
      <w:tr>
        <w:tc>
          <w:tcPr/>
          <w:p>
            <w:pPr>
              <w:pStyle w:val="Compact"/>
              <w:jc w:val="left"/>
            </w:pPr>
            <w:r>
              <w:rPr>
                <w:bCs/>
                <w:b/>
              </w:rPr>
              <w:t xml:space="preserve">National Authorities</w:t>
            </w:r>
          </w:p>
        </w:tc>
        <w:tc>
          <w:tcPr/>
          <w:p>
            <w:pPr>
              <w:pStyle w:val="Compact"/>
              <w:jc w:val="left"/>
            </w:pPr>
            <w:r>
              <w:t xml:space="preserve">Issue binding guidance on adequate publication (format, frequency, accessibility)</w:t>
            </w:r>
          </w:p>
        </w:tc>
        <w:tc>
          <w:tcPr/>
          <w:p>
            <w:pPr>
              <w:pStyle w:val="Compact"/>
              <w:jc w:val="left"/>
            </w:pPr>
            <w:r>
              <w:t xml:space="preserve">High — immediate improvement in compliance quality</w:t>
            </w:r>
          </w:p>
        </w:tc>
        <w:tc>
          <w:tcPr/>
          <w:p>
            <w:pPr>
              <w:pStyle w:val="Compact"/>
              <w:jc w:val="left"/>
            </w:pPr>
            <w:r>
              <w:t xml:space="preserve">6–12 months</w:t>
            </w:r>
          </w:p>
        </w:tc>
        <w:tc>
          <w:tcPr/>
          <w:p>
            <w:pPr>
              <w:pStyle w:val="Compact"/>
              <w:jc w:val="left"/>
            </w:pPr>
            <w:r>
              <w:t xml:space="preserve">Lack of precedent; CMO lobbying</w:t>
            </w:r>
          </w:p>
        </w:tc>
      </w:tr>
      <w:tr>
        <w:tc>
          <w:tcPr/>
          <w:p>
            <w:pPr>
              <w:pStyle w:val="Compact"/>
              <w:jc w:val="left"/>
            </w:pPr>
            <w:r>
              <w:rPr>
                <w:bCs/>
                <w:b/>
              </w:rPr>
              <w:t xml:space="preserve">National Authorities</w:t>
            </w:r>
          </w:p>
        </w:tc>
        <w:tc>
          <w:tcPr/>
          <w:p>
            <w:pPr>
              <w:pStyle w:val="Compact"/>
              <w:jc w:val="left"/>
            </w:pPr>
            <w:r>
              <w:t xml:space="preserve">Establish complaint procedures for rightsholders unable to access unidentified works data</w:t>
            </w:r>
          </w:p>
        </w:tc>
        <w:tc>
          <w:tcPr/>
          <w:p>
            <w:pPr>
              <w:pStyle w:val="Compact"/>
              <w:jc w:val="left"/>
            </w:pPr>
            <w:r>
              <w:t xml:space="preserve">Moderate — creates bottom-up enforcement pressure</w:t>
            </w:r>
          </w:p>
        </w:tc>
        <w:tc>
          <w:tcPr/>
          <w:p>
            <w:pPr>
              <w:pStyle w:val="Compact"/>
              <w:jc w:val="left"/>
            </w:pPr>
            <w:r>
              <w:t xml:space="preserve">6–12 months</w:t>
            </w:r>
          </w:p>
        </w:tc>
        <w:tc>
          <w:tcPr/>
          <w:p>
            <w:pPr>
              <w:pStyle w:val="Compact"/>
              <w:jc w:val="left"/>
            </w:pPr>
            <w:r>
              <w:t xml:space="preserve">Low complaint volumes expected initially</w:t>
            </w:r>
          </w:p>
        </w:tc>
      </w:tr>
      <w:tr>
        <w:tc>
          <w:tcPr/>
          <w:p>
            <w:pPr>
              <w:pStyle w:val="Compact"/>
              <w:jc w:val="left"/>
            </w:pPr>
            <w:r>
              <w:rPr>
                <w:bCs/>
                <w:b/>
              </w:rPr>
              <w:t xml:space="preserve">National Authorities</w:t>
            </w:r>
          </w:p>
        </w:tc>
        <w:tc>
          <w:tcPr/>
          <w:p>
            <w:pPr>
              <w:pStyle w:val="Compact"/>
              <w:jc w:val="left"/>
            </w:pPr>
            <w:r>
              <w:t xml:space="preserve">Apply graduated sanctions (instruction → warning → fine → licence suspension) for persistent non-compliance</w:t>
            </w:r>
          </w:p>
        </w:tc>
        <w:tc>
          <w:tcPr/>
          <w:p>
            <w:pPr>
              <w:pStyle w:val="Compact"/>
              <w:jc w:val="left"/>
            </w:pPr>
            <w:r>
              <w:t xml:space="preserve">Very high — only measure with demonstrated effectiveness</w:t>
            </w:r>
          </w:p>
        </w:tc>
        <w:tc>
          <w:tcPr/>
          <w:p>
            <w:pPr>
              <w:pStyle w:val="Compact"/>
              <w:jc w:val="left"/>
            </w:pPr>
            <w:r>
              <w:t xml:space="preserve">12–24 months</w:t>
            </w:r>
          </w:p>
        </w:tc>
        <w:tc>
          <w:tcPr/>
          <w:p>
            <w:pPr>
              <w:pStyle w:val="Compact"/>
              <w:jc w:val="left"/>
            </w:pPr>
            <w:r>
              <w:t xml:space="preserve">Political will; CMO institutional resistance</w:t>
            </w:r>
          </w:p>
        </w:tc>
      </w:tr>
      <w:tr>
        <w:tc>
          <w:tcPr/>
          <w:p>
            <w:pPr>
              <w:pStyle w:val="Compact"/>
              <w:jc w:val="left"/>
            </w:pPr>
            <w:r>
              <w:rPr>
                <w:bCs/>
                <w:b/>
              </w:rPr>
              <w:t xml:space="preserve">National Authorities</w:t>
            </w:r>
          </w:p>
        </w:tc>
        <w:tc>
          <w:tcPr/>
          <w:p>
            <w:pPr>
              <w:pStyle w:val="Compact"/>
              <w:jc w:val="left"/>
            </w:pPr>
            <w:r>
              <w:t xml:space="preserve">Require separate accounting and annual publication of unidentified amounts held</w:t>
            </w:r>
          </w:p>
        </w:tc>
        <w:tc>
          <w:tcPr/>
          <w:p>
            <w:pPr>
              <w:pStyle w:val="Compact"/>
              <w:jc w:val="left"/>
            </w:pPr>
            <w:r>
              <w:t xml:space="preserve">High — enables external monitoring</w:t>
            </w:r>
          </w:p>
        </w:tc>
        <w:tc>
          <w:tcPr/>
          <w:p>
            <w:pPr>
              <w:pStyle w:val="Compact"/>
              <w:jc w:val="left"/>
            </w:pPr>
            <w:r>
              <w:t xml:space="preserve">6–12 months</w:t>
            </w:r>
          </w:p>
        </w:tc>
        <w:tc>
          <w:tcPr/>
          <w:p>
            <w:pPr>
              <w:pStyle w:val="Compact"/>
              <w:jc w:val="left"/>
            </w:pPr>
            <w:r>
              <w:t xml:space="preserve">Accounting system changes at CMOs</w:t>
            </w:r>
          </w:p>
        </w:tc>
      </w:tr>
      <w:tr>
        <w:tc>
          <w:tcPr/>
          <w:p>
            <w:pPr>
              <w:pStyle w:val="Compact"/>
              <w:jc w:val="left"/>
            </w:pPr>
            <w:r>
              <w:rPr>
                <w:bCs/>
                <w:b/>
              </w:rPr>
              <w:t xml:space="preserve">CMOs</w:t>
            </w:r>
          </w:p>
        </w:tc>
        <w:tc>
          <w:tcPr/>
          <w:p>
            <w:pPr>
              <w:pStyle w:val="Compact"/>
              <w:jc w:val="left"/>
            </w:pPr>
            <w:r>
              <w:t xml:space="preserve">Adopt DDEX BWARM standard for unidentified works publication</w:t>
            </w:r>
          </w:p>
        </w:tc>
        <w:tc>
          <w:tcPr/>
          <w:p>
            <w:pPr>
              <w:pStyle w:val="Compact"/>
              <w:jc w:val="left"/>
            </w:pPr>
            <w:r>
              <w:t xml:space="preserve">High — achieves cross-border interoperability</w:t>
            </w:r>
          </w:p>
        </w:tc>
        <w:tc>
          <w:tcPr/>
          <w:p>
            <w:pPr>
              <w:pStyle w:val="Compact"/>
              <w:jc w:val="left"/>
            </w:pPr>
            <w:r>
              <w:t xml:space="preserve">12–24 months</w:t>
            </w:r>
          </w:p>
        </w:tc>
        <w:tc>
          <w:tcPr/>
          <w:p>
            <w:pPr>
              <w:pStyle w:val="Compact"/>
              <w:jc w:val="left"/>
            </w:pPr>
            <w:r>
              <w:t xml:space="preserve">Legacy system migration costs</w:t>
            </w:r>
          </w:p>
        </w:tc>
      </w:tr>
      <w:tr>
        <w:tc>
          <w:tcPr/>
          <w:p>
            <w:pPr>
              <w:pStyle w:val="Compact"/>
              <w:jc w:val="left"/>
            </w:pPr>
            <w:r>
              <w:rPr>
                <w:bCs/>
                <w:b/>
              </w:rPr>
              <w:t xml:space="preserve">CMOs</w:t>
            </w:r>
          </w:p>
        </w:tc>
        <w:tc>
          <w:tcPr/>
          <w:p>
            <w:pPr>
              <w:pStyle w:val="Compact"/>
              <w:jc w:val="left"/>
            </w:pPr>
            <w:r>
              <w:t xml:space="preserve">Publish public APIs for unidentified works querying</w:t>
            </w:r>
          </w:p>
        </w:tc>
        <w:tc>
          <w:tcPr/>
          <w:p>
            <w:pPr>
              <w:pStyle w:val="Compact"/>
              <w:jc w:val="left"/>
            </w:pPr>
            <w:r>
              <w:t xml:space="preserve">High — enables third-party matching services</w:t>
            </w:r>
          </w:p>
        </w:tc>
        <w:tc>
          <w:tcPr/>
          <w:p>
            <w:pPr>
              <w:pStyle w:val="Compact"/>
              <w:jc w:val="left"/>
            </w:pPr>
            <w:r>
              <w:t xml:space="preserve">18–36 months</w:t>
            </w:r>
          </w:p>
        </w:tc>
        <w:tc>
          <w:tcPr/>
          <w:p>
            <w:pPr>
              <w:pStyle w:val="Compact"/>
              <w:jc w:val="left"/>
            </w:pPr>
            <w:r>
              <w:t xml:space="preserve">Security concerns; data quality issues</w:t>
            </w:r>
          </w:p>
        </w:tc>
      </w:tr>
      <w:tr>
        <w:tc>
          <w:tcPr/>
          <w:p>
            <w:pPr>
              <w:pStyle w:val="Compact"/>
              <w:jc w:val="left"/>
            </w:pPr>
            <w:r>
              <w:rPr>
                <w:bCs/>
                <w:b/>
              </w:rPr>
              <w:t xml:space="preserve">CMOs</w:t>
            </w:r>
          </w:p>
        </w:tc>
        <w:tc>
          <w:tcPr/>
          <w:p>
            <w:pPr>
              <w:pStyle w:val="Compact"/>
              <w:jc w:val="left"/>
            </w:pPr>
            <w:r>
              <w:t xml:space="preserve">Implement bilingual interfaces (local + English) for all registries</w:t>
            </w:r>
          </w:p>
        </w:tc>
        <w:tc>
          <w:tcPr/>
          <w:p>
            <w:pPr>
              <w:pStyle w:val="Compact"/>
              <w:jc w:val="left"/>
            </w:pPr>
            <w:r>
              <w:t xml:space="preserve">Moderate — improves foreign rightsholder access</w:t>
            </w:r>
          </w:p>
        </w:tc>
        <w:tc>
          <w:tcPr/>
          <w:p>
            <w:pPr>
              <w:pStyle w:val="Compact"/>
              <w:jc w:val="left"/>
            </w:pPr>
            <w:r>
              <w:t xml:space="preserve">6–12 months</w:t>
            </w:r>
          </w:p>
        </w:tc>
        <w:tc>
          <w:tcPr/>
          <w:p>
            <w:pPr>
              <w:pStyle w:val="Compact"/>
              <w:jc w:val="left"/>
            </w:pPr>
            <w:r>
              <w:t xml:space="preserve">Translation costs for legacy data</w:t>
            </w:r>
          </w:p>
        </w:tc>
      </w:tr>
      <w:tr>
        <w:tc>
          <w:tcPr/>
          <w:p>
            <w:pPr>
              <w:pStyle w:val="Compact"/>
              <w:jc w:val="left"/>
            </w:pPr>
            <w:r>
              <w:rPr>
                <w:bCs/>
                <w:b/>
              </w:rPr>
              <w:t xml:space="preserve">CMOs</w:t>
            </w:r>
          </w:p>
        </w:tc>
        <w:tc>
          <w:tcPr/>
          <w:p>
            <w:pPr>
              <w:pStyle w:val="Compact"/>
              <w:jc w:val="left"/>
            </w:pPr>
            <w:r>
              <w:t xml:space="preserve">Separate unidentified funds accounting with quarterly publication of amounts held</w:t>
            </w:r>
          </w:p>
        </w:tc>
        <w:tc>
          <w:tcPr/>
          <w:p>
            <w:pPr>
              <w:pStyle w:val="Compact"/>
              <w:jc w:val="left"/>
            </w:pPr>
            <w:r>
              <w:t xml:space="preserve">Moderate — increases transparency</w:t>
            </w:r>
          </w:p>
        </w:tc>
        <w:tc>
          <w:tcPr/>
          <w:p>
            <w:pPr>
              <w:pStyle w:val="Compact"/>
              <w:jc w:val="left"/>
            </w:pPr>
            <w:r>
              <w:t xml:space="preserve">6–12 months</w:t>
            </w:r>
          </w:p>
        </w:tc>
        <w:tc>
          <w:tcPr/>
          <w:p>
            <w:pPr>
              <w:pStyle w:val="Compact"/>
              <w:jc w:val="left"/>
            </w:pPr>
            <w:r>
              <w:t xml:space="preserve">Internal accounting reorganisation</w:t>
            </w:r>
          </w:p>
        </w:tc>
      </w:tr>
      <w:tr>
        <w:tc>
          <w:tcPr/>
          <w:p>
            <w:pPr>
              <w:pStyle w:val="Compact"/>
              <w:jc w:val="left"/>
            </w:pPr>
            <w:r>
              <w:rPr>
                <w:bCs/>
                <w:b/>
              </w:rPr>
              <w:t xml:space="preserve">CMOs</w:t>
            </w:r>
          </w:p>
        </w:tc>
        <w:tc>
          <w:tcPr/>
          <w:p>
            <w:pPr>
              <w:pStyle w:val="Compact"/>
              <w:jc w:val="left"/>
            </w:pPr>
            <w:r>
              <w:t xml:space="preserve">Publish identification success rates (percentage of unidentified works matched)</w:t>
            </w:r>
          </w:p>
        </w:tc>
        <w:tc>
          <w:tcPr/>
          <w:p>
            <w:pPr>
              <w:pStyle w:val="Compact"/>
              <w:jc w:val="left"/>
            </w:pPr>
            <w:r>
              <w:t xml:space="preserve">Moderate — creates performance accountability</w:t>
            </w:r>
          </w:p>
        </w:tc>
        <w:tc>
          <w:tcPr/>
          <w:p>
            <w:pPr>
              <w:pStyle w:val="Compact"/>
              <w:jc w:val="left"/>
            </w:pPr>
            <w:r>
              <w:t xml:space="preserve">3–6 months</w:t>
            </w:r>
          </w:p>
        </w:tc>
        <w:tc>
          <w:tcPr/>
          <w:p>
            <w:pPr>
              <w:pStyle w:val="Compact"/>
              <w:jc w:val="left"/>
            </w:pPr>
            <w:r>
              <w:t xml:space="preserve">Disincentive to reveal low rates</w:t>
            </w:r>
          </w:p>
        </w:tc>
      </w:tr>
      <w:tr>
        <w:tc>
          <w:tcPr/>
          <w:p>
            <w:pPr>
              <w:pStyle w:val="Compact"/>
              <w:jc w:val="left"/>
            </w:pPr>
            <w:r>
              <w:rPr>
                <w:bCs/>
                <w:b/>
              </w:rPr>
              <w:t xml:space="preserve">Industry (CISAC, GESAC)</w:t>
            </w:r>
          </w:p>
        </w:tc>
        <w:tc>
          <w:tcPr/>
          <w:p>
            <w:pPr>
              <w:pStyle w:val="Compact"/>
              <w:jc w:val="left"/>
            </w:pPr>
            <w:r>
              <w:t xml:space="preserve">Develop public-facing unidentified works standard building on internal UP format</w:t>
            </w:r>
          </w:p>
        </w:tc>
        <w:tc>
          <w:tcPr/>
          <w:p>
            <w:pPr>
              <w:pStyle w:val="Compact"/>
              <w:jc w:val="left"/>
            </w:pPr>
            <w:r>
              <w:t xml:space="preserve">High — leverages existing infrastructure</w:t>
            </w:r>
          </w:p>
        </w:tc>
        <w:tc>
          <w:tcPr/>
          <w:p>
            <w:pPr>
              <w:pStyle w:val="Compact"/>
              <w:jc w:val="left"/>
            </w:pPr>
            <w:r>
              <w:t xml:space="preserve">12–18 months</w:t>
            </w:r>
          </w:p>
        </w:tc>
        <w:tc>
          <w:tcPr/>
          <w:p>
            <w:pPr>
              <w:pStyle w:val="Compact"/>
              <w:jc w:val="left"/>
            </w:pPr>
            <w:r>
              <w:t xml:space="preserve">Governance disputes; competitive concerns</w:t>
            </w:r>
          </w:p>
        </w:tc>
      </w:tr>
      <w:tr>
        <w:tc>
          <w:tcPr/>
          <w:p>
            <w:pPr>
              <w:pStyle w:val="Compact"/>
              <w:jc w:val="left"/>
            </w:pPr>
            <w:r>
              <w:rPr>
                <w:bCs/>
                <w:b/>
              </w:rPr>
              <w:t xml:space="preserve">Industry (CISAC, GESAC)</w:t>
            </w:r>
          </w:p>
        </w:tc>
        <w:tc>
          <w:tcPr/>
          <w:p>
            <w:pPr>
              <w:pStyle w:val="Compact"/>
              <w:jc w:val="left"/>
            </w:pPr>
            <w:r>
              <w:t xml:space="preserve">Create transparency benchmarking programme with annual public scores</w:t>
            </w:r>
          </w:p>
        </w:tc>
        <w:tc>
          <w:tcPr/>
          <w:p>
            <w:pPr>
              <w:pStyle w:val="Compact"/>
              <w:jc w:val="left"/>
            </w:pPr>
            <w:r>
              <w:t xml:space="preserve">Moderate — introduces reputational pressure</w:t>
            </w:r>
          </w:p>
        </w:tc>
        <w:tc>
          <w:tcPr/>
          <w:p>
            <w:pPr>
              <w:pStyle w:val="Compact"/>
              <w:jc w:val="left"/>
            </w:pPr>
            <w:r>
              <w:t xml:space="preserve">12 months</w:t>
            </w:r>
          </w:p>
        </w:tc>
        <w:tc>
          <w:tcPr/>
          <w:p>
            <w:pPr>
              <w:pStyle w:val="Compact"/>
              <w:jc w:val="left"/>
            </w:pPr>
            <w:r>
              <w:t xml:space="preserve">CMO resistance to public ranking</w:t>
            </w:r>
          </w:p>
        </w:tc>
      </w:tr>
      <w:tr>
        <w:tc>
          <w:tcPr/>
          <w:p>
            <w:pPr>
              <w:pStyle w:val="Compact"/>
              <w:jc w:val="left"/>
            </w:pPr>
            <w:r>
              <w:rPr>
                <w:bCs/>
                <w:b/>
              </w:rPr>
              <w:t xml:space="preserve">Industry (CISAC, GESAC)</w:t>
            </w:r>
          </w:p>
        </w:tc>
        <w:tc>
          <w:tcPr/>
          <w:p>
            <w:pPr>
              <w:pStyle w:val="Compact"/>
              <w:jc w:val="left"/>
            </w:pPr>
            <w:r>
              <w:t xml:space="preserve">Extend identifier infrastructure investment to neighbouring rights (IPN, ISRC central registry)</w:t>
            </w:r>
          </w:p>
        </w:tc>
        <w:tc>
          <w:tcPr/>
          <w:p>
            <w:pPr>
              <w:pStyle w:val="Compact"/>
              <w:jc w:val="left"/>
            </w:pPr>
            <w:r>
              <w:t xml:space="preserve">Very high — addresses root cause of neighbouring rights gap</w:t>
            </w:r>
          </w:p>
        </w:tc>
        <w:tc>
          <w:tcPr/>
          <w:p>
            <w:pPr>
              <w:pStyle w:val="Compact"/>
              <w:jc w:val="left"/>
            </w:pPr>
            <w:r>
              <w:t xml:space="preserve">24–48 months</w:t>
            </w:r>
          </w:p>
        </w:tc>
        <w:tc>
          <w:tcPr/>
          <w:p>
            <w:pPr>
              <w:pStyle w:val="Compact"/>
              <w:jc w:val="left"/>
            </w:pPr>
            <w:r>
              <w:t xml:space="preserve">Funding; coordination with SCAPR</w:t>
            </w:r>
          </w:p>
        </w:tc>
      </w:tr>
    </w:tbl>
    <w:p>
      <w:pPr>
        <w:pStyle w:val="BodyText"/>
      </w:pPr>
      <w:r>
        <w:rPr>
          <w:iCs/>
          <w:i/>
        </w:rPr>
        <w:t xml:space="preserve">Source: Author synthesis based on findings in Chapters 1–5 and cross-verified research dimensions.</w:t>
      </w:r>
    </w:p>
    <w:bookmarkEnd w:id="87"/>
    <w:bookmarkStart w:id="88" w:name="for-the-eu-commission"/>
    <w:p>
      <w:pPr>
        <w:pStyle w:val="Heading4"/>
      </w:pPr>
      <w:r>
        <w:t xml:space="preserve">6.2.2 For the EU Commission</w:t>
      </w:r>
    </w:p>
    <w:p>
      <w:pPr>
        <w:pStyle w:val="FirstParagraph"/>
      </w:pPr>
      <w:r>
        <w:t xml:space="preserve">The Commission possesses three levers. First, a</w:t>
      </w:r>
      <w:r>
        <w:t xml:space="preserve"> </w:t>
      </w:r>
      <w:r>
        <w:rPr>
          <w:bCs/>
          <w:b/>
        </w:rPr>
        <w:t xml:space="preserve">delegated act under Article 46</w:t>
      </w:r>
      <w:r>
        <w:t xml:space="preserve"> </w:t>
      </w:r>
      <w:r>
        <w:t xml:space="preserve">specifying minimum format standards would close the formal-substantive compliance gap. Such standards should require machine-readable formats, minimum search fields (work title, rightsholder name, usage period), and accessibility without login. The BWARM standard already provides a ready-made specification</w:t>
      </w:r>
      <w:r>
        <w:t xml:space="preserve"> </w:t>
      </w:r>
      <w:fldSimple w:instr="NOTEREF _Ref_Footnote_16 \h \f">
        <w:r>
          <w:rPr>
            <w:vertAlign w:val="superscript"/>
          </w:rPr>
          <w:t>16</w:t>
        </w:r>
      </w:fldSimple>
      <w:r>
        <w:t xml:space="preserve">; the Commission need only mandate its adoption.</w:t>
      </w:r>
    </w:p>
    <w:p>
      <w:pPr>
        <w:pStyle w:val="BodyText"/>
      </w:pPr>
      <w:r>
        <w:t xml:space="preserve">Second, the Commission should</w:t>
      </w:r>
      <w:r>
        <w:t xml:space="preserve"> </w:t>
      </w:r>
      <w:r>
        <w:rPr>
          <w:bCs/>
          <w:b/>
        </w:rPr>
        <w:t xml:space="preserve">clarify the legal status of centralised processing hubs</w:t>
      </w:r>
      <w:r>
        <w:t xml:space="preserve">. ICE Services processes the majority of multi-territorial online streams in Europe yet bears no Article 13 obligation</w:t>
      </w:r>
      <w:r>
        <w:t xml:space="preserve"> </w:t>
      </w:r>
      <w:fldSimple w:instr="NOTEREF _Ref_Footnote_10 \h \f">
        <w:r>
          <w:rPr>
            <w:vertAlign w:val="superscript"/>
          </w:rPr>
          <w:t>10</w:t>
        </w:r>
      </w:fldSimple>
      <w:r>
        <w:t xml:space="preserve"> </w:t>
      </w:r>
      <w:fldSimple w:instr="NOTEREF _Ref_Footnote_14 \h \f">
        <w:r>
          <w:rPr>
            <w:vertAlign w:val="superscript"/>
          </w:rPr>
          <w:t>14</w:t>
        </w:r>
      </w:fldSimple>
      <w:r>
        <w:t xml:space="preserve">. A Directive amendment or CJEU referral could determine whether obligations follow the data to the hub or remain with the delegating CMO — addressing the single largest structural opacity in European music licensing.</w:t>
      </w:r>
    </w:p>
    <w:p>
      <w:pPr>
        <w:pStyle w:val="BodyText"/>
      </w:pPr>
      <w:r>
        <w:t xml:space="preserve">Third, the Commission should</w:t>
      </w:r>
      <w:r>
        <w:t xml:space="preserve"> </w:t>
      </w:r>
      <w:r>
        <w:rPr>
          <w:bCs/>
          <w:b/>
        </w:rPr>
        <w:t xml:space="preserve">mandate multilingual access</w:t>
      </w:r>
      <w:r>
        <w:t xml:space="preserve">. The current regime — 56% of registries local-language only — creates a de facto barrier to the internal market</w:t>
      </w:r>
      <w:r>
        <w:t xml:space="preserve"> </w:t>
      </w:r>
      <w:fldSimple w:instr="NOTEREF _Ref_Footnote_1 \h \f">
        <w:r>
          <w:rPr>
            <w:vertAlign w:val="superscript"/>
          </w:rPr>
          <w:t>1</w:t>
        </w:r>
      </w:fldSimple>
      <w:r>
        <w:t xml:space="preserve">. Requiring English alongside local-language interfaces would cost modestly while dramatically improving cross-border rightsholder access.</w:t>
      </w:r>
    </w:p>
    <w:bookmarkEnd w:id="88"/>
    <w:bookmarkStart w:id="89" w:name="for-national-competent-authorities"/>
    <w:p>
      <w:pPr>
        <w:pStyle w:val="Heading4"/>
      </w:pPr>
      <w:r>
        <w:t xml:space="preserve">6.2.3 For National Competent Authorities</w:t>
      </w:r>
    </w:p>
    <w:p>
      <w:pPr>
        <w:pStyle w:val="FirstParagraph"/>
      </w:pPr>
      <w:r>
        <w:t xml:space="preserve">NCAs are the frontline of enforcement, and their inaction is the proximate cause of persistent non-compliance.</w:t>
      </w:r>
      <w:r>
        <w:t xml:space="preserve"> </w:t>
      </w:r>
      <w:r>
        <w:rPr>
          <w:bCs/>
          <w:b/>
        </w:rPr>
        <w:t xml:space="preserve">Binding guidance on adequate publication</w:t>
      </w:r>
      <w:r>
        <w:t xml:space="preserve"> </w:t>
      </w:r>
      <w:r>
        <w:t xml:space="preserve">would eliminate the ambiguity permitting PDF-only and members-only approaches. Spain and Austria have demonstrated that explicit statutory requirements produce better outcomes</w:t>
      </w:r>
      <w:r>
        <w:t xml:space="preserve"> </w:t>
      </w:r>
      <w:fldSimple w:instr="NOTEREF _Ref_Footnote_33 \h \f">
        <w:r>
          <w:rPr>
            <w:vertAlign w:val="superscript"/>
          </w:rPr>
          <w:t>33</w:t>
        </w:r>
      </w:fldSimple>
      <w:r>
        <w:t xml:space="preserve"> </w:t>
      </w:r>
      <w:fldSimple w:instr="NOTEREF _Ref_Footnote_34 \h \f">
        <w:r>
          <w:rPr>
            <w:vertAlign w:val="superscript"/>
          </w:rPr>
          <w:t>34</w:t>
        </w:r>
      </w:fldSimple>
      <w:r>
        <w:t xml:space="preserve">; other NCAs should issue equivalent guidance.</w:t>
      </w:r>
    </w:p>
    <w:p>
      <w:pPr>
        <w:pStyle w:val="BodyText"/>
      </w:pPr>
      <w:r>
        <w:rPr>
          <w:bCs/>
          <w:b/>
        </w:rPr>
        <w:t xml:space="preserve">Graduated sanctions</w:t>
      </w:r>
      <w:r>
        <w:t xml:space="preserve"> </w:t>
      </w:r>
      <w:r>
        <w:t xml:space="preserve">represent the single most effective tool. The Swiss IPI’s framework — instruction, formal warning, monetary penalty, and authorisation revocation</w:t>
      </w:r>
      <w:r>
        <w:t xml:space="preserve"> </w:t>
      </w:r>
      <w:fldSimple w:instr="NOTEREF _Ref_Footnote_13 \h \f">
        <w:r>
          <w:rPr>
            <w:vertAlign w:val="superscript"/>
          </w:rPr>
          <w:t>13</w:t>
        </w:r>
      </w:fldSimple>
      <w:r>
        <w:t xml:space="preserve"> </w:t>
      </w:r>
      <w:fldSimple w:instr="NOTEREF _Ref_Footnote_156 \h \f">
        <w:r>
          <w:rPr>
            <w:vertAlign w:val="superscript"/>
          </w:rPr>
          <w:t>156</w:t>
        </w:r>
      </w:fldSimple>
      <w:r>
        <w:t xml:space="preserve">— has produced voluntary compliance exceeding many EU-mandated performances. The CRM Directive provides sufficient authority in Article 39; what has been absent is the will to apply it.</w:t>
      </w:r>
    </w:p>
    <w:p>
      <w:pPr>
        <w:pStyle w:val="BodyText"/>
      </w:pPr>
      <w:r>
        <w:rPr>
          <w:bCs/>
          <w:b/>
        </w:rPr>
        <w:t xml:space="preserve">Complaint procedures</w:t>
      </w:r>
      <w:r>
        <w:t xml:space="preserve"> </w:t>
      </w:r>
      <w:r>
        <w:t xml:space="preserve">would democratise enforcement. A formal channel modelled on GDPR approaches would enable foreign rightsholders, publishers, and matching services to report suspected non-compliance, generating case volume for proactive NCA investigations.</w:t>
      </w:r>
    </w:p>
    <w:bookmarkEnd w:id="89"/>
    <w:bookmarkStart w:id="90" w:name="for-cmos"/>
    <w:p>
      <w:pPr>
        <w:pStyle w:val="Heading4"/>
      </w:pPr>
      <w:r>
        <w:t xml:space="preserve">6.2.4 For CMOs</w:t>
      </w:r>
    </w:p>
    <w:p>
      <w:pPr>
        <w:pStyle w:val="FirstParagraph"/>
      </w:pPr>
      <w:r>
        <w:t xml:space="preserve">Individual CMOs can act independently of regulatory pressure.</w:t>
      </w:r>
      <w:r>
        <w:t xml:space="preserve"> </w:t>
      </w:r>
      <w:r>
        <w:rPr>
          <w:bCs/>
          <w:b/>
        </w:rPr>
        <w:t xml:space="preserve">Adoption of BWARM</w:t>
      </w:r>
      <w:r>
        <w:t xml:space="preserve"> </w:t>
      </w:r>
      <w:r>
        <w:t xml:space="preserve">for unidentified works publication would improve interoperability with publisher systems and matching services</w:t>
      </w:r>
      <w:r>
        <w:t xml:space="preserve"> </w:t>
      </w:r>
      <w:fldSimple w:instr="NOTEREF _Ref_Footnote_16 \h \f">
        <w:r>
          <w:rPr>
            <w:vertAlign w:val="superscript"/>
          </w:rPr>
          <w:t>16</w:t>
        </w:r>
      </w:fldSimple>
      <w:r>
        <w:t xml:space="preserve">.</w:t>
      </w:r>
      <w:r>
        <w:t xml:space="preserve"> </w:t>
      </w:r>
      <w:r>
        <w:rPr>
          <w:bCs/>
          <w:b/>
        </w:rPr>
        <w:t xml:space="preserve">Public APIs</w:t>
      </w:r>
      <w:r>
        <w:t xml:space="preserve"> </w:t>
      </w:r>
      <w:r>
        <w:t xml:space="preserve">would transform registry utility — the Mechanical Licensing Collective in the United States demonstrates that programmatic access is technically feasible and valuable</w:t>
      </w:r>
      <w:r>
        <w:t xml:space="preserve"> </w:t>
      </w:r>
      <w:fldSimple w:instr="NOTEREF _Ref_Footnote_132 \h \f">
        <w:r>
          <w:rPr>
            <w:vertAlign w:val="superscript"/>
          </w:rPr>
          <w:t>132</w:t>
        </w:r>
      </w:fldSimple>
      <w:r>
        <w:t xml:space="preserve">. A European CMO publishing the first public unidentified works API would attract international repertoire by reducing friction for multi-territorial administrators.</w:t>
      </w:r>
    </w:p>
    <w:p>
      <w:pPr>
        <w:pStyle w:val="BodyText"/>
      </w:pPr>
      <w:r>
        <w:rPr>
          <w:bCs/>
          <w:b/>
        </w:rPr>
        <w:t xml:space="preserve">Bilingual interfaces</w:t>
      </w:r>
      <w:r>
        <w:t xml:space="preserve"> </w:t>
      </w:r>
      <w:r>
        <w:t xml:space="preserve">and</w:t>
      </w:r>
      <w:r>
        <w:t xml:space="preserve"> </w:t>
      </w:r>
      <w:r>
        <w:rPr>
          <w:bCs/>
          <w:b/>
        </w:rPr>
        <w:t xml:space="preserve">separate unidentified funds accounting</w:t>
      </w:r>
      <w:r>
        <w:t xml:space="preserve"> </w:t>
      </w:r>
      <w:r>
        <w:t xml:space="preserve">are lower-cost measures with immediate transparency dividends. CMOs should also publish identification success rates — the percentage of initially unidentified works successfully matched. This metric, currently unpublished by every European CMO, is essential for detecting whether the three-year reversion period creates perverse incentives to under-invest in matching.</w:t>
      </w:r>
    </w:p>
    <w:bookmarkEnd w:id="90"/>
    <w:bookmarkStart w:id="91" w:name="for-industry-bodies-cisac-gesac"/>
    <w:p>
      <w:pPr>
        <w:pStyle w:val="Heading4"/>
      </w:pPr>
      <w:r>
        <w:t xml:space="preserve">6.2.5 For Industry Bodies (CISAC, GESAC)</w:t>
      </w:r>
    </w:p>
    <w:p>
      <w:pPr>
        <w:pStyle w:val="FirstParagraph"/>
      </w:pPr>
      <w:r>
        <w:t xml:space="preserve">CISAC’s Unidentified Performances (UP) Format is the only industry-standard mechanism for cross-border unidentified works sharing, yet it is restricted to society-to-society exchange with no public-facing equivalent</w:t>
      </w:r>
      <w:r>
        <w:t xml:space="preserve"> </w:t>
      </w:r>
      <w:fldSimple w:instr="NOTEREF _Ref_Footnote_131 \h \f">
        <w:r>
          <w:rPr>
            <w:vertAlign w:val="superscript"/>
          </w:rPr>
          <w:t>131</w:t>
        </w:r>
      </w:fldSimple>
      <w:r>
        <w:t xml:space="preserve">. CISAC should develop a</w:t>
      </w:r>
      <w:r>
        <w:t xml:space="preserve"> </w:t>
      </w:r>
      <w:r>
        <w:rPr>
          <w:bCs/>
          <w:b/>
        </w:rPr>
        <w:t xml:space="preserve">public variant of the UP standard</w:t>
      </w:r>
      <w:r>
        <w:t xml:space="preserve"> </w:t>
      </w:r>
      <w:r>
        <w:t xml:space="preserve">for Article 13 publication, leveraging existing governance infrastructure to drive adoption without regulatory compulsion.</w:t>
      </w:r>
    </w:p>
    <w:p>
      <w:pPr>
        <w:pStyle w:val="BodyText"/>
      </w:pPr>
      <w:r>
        <w:t xml:space="preserve">A</w:t>
      </w:r>
      <w:r>
        <w:t xml:space="preserve"> </w:t>
      </w:r>
      <w:r>
        <w:rPr>
          <w:bCs/>
          <w:b/>
        </w:rPr>
        <w:t xml:space="preserve">transparency benchmarking programme</w:t>
      </w:r>
      <w:r>
        <w:t xml:space="preserve"> </w:t>
      </w:r>
      <w:r>
        <w:t xml:space="preserve">— publishing annual scores for member societies based on registry accessibility, format quality, and language availability — would introduce reputational pressure into a domain governed by legal minimums. CISAC already conducts peer review through its Professional Rules</w:t>
      </w:r>
      <w:r>
        <w:t xml:space="preserve"> </w:t>
      </w:r>
      <w:fldSimple w:instr="NOTEREF _Ref_Footnote_153 \h \f">
        <w:r>
          <w:rPr>
            <w:vertAlign w:val="superscript"/>
          </w:rPr>
          <w:t>153</w:t>
        </w:r>
      </w:fldSimple>
      <w:r>
        <w:t xml:space="preserve">; extending this to quantitative benchmarking would align self-regulation with rightsholder interests.</w:t>
      </w:r>
    </w:p>
    <w:p>
      <w:pPr>
        <w:pStyle w:val="BodyText"/>
      </w:pPr>
      <w:r>
        <w:t xml:space="preserve">Finally,</w:t>
      </w:r>
      <w:r>
        <w:t xml:space="preserve"> </w:t>
      </w:r>
      <w:r>
        <w:rPr>
          <w:bCs/>
          <w:b/>
        </w:rPr>
        <w:t xml:space="preserve">identifier infrastructure investment must extend to neighbouring rights</w:t>
      </w:r>
      <w:r>
        <w:t xml:space="preserve">. The ISWC+IPI ecosystem’s maturity (87% adoption)</w:t>
      </w:r>
      <w:r>
        <w:t xml:space="preserve"> </w:t>
      </w:r>
      <w:fldSimple w:instr="NOTEREF _Ref_Footnote_8 \h \f">
        <w:r>
          <w:rPr>
            <w:vertAlign w:val="superscript"/>
          </w:rPr>
          <w:t>8</w:t>
        </w:r>
      </w:fldSimple>
      <w:r>
        <w:t xml:space="preserve">reflects decades of CISAC investment. The neighbouring rights equivalent — IPN, ISNI, and a central ISRC registry — lacks comparable support. GESAC and SCAPR should coordinate funding for cross-border performer identification infrastructure addressing the root cause of the transparency gap documented in Chapter 3.</w:t>
      </w:r>
    </w:p>
    <w:p>
      <w:pPr>
        <w:pStyle w:val="BodyText"/>
      </w:pPr>
      <w:r>
        <w:t xml:space="preserve">The findings of this report demonstrate that Article 13 compliance is achievable: SACEM, ZAiKS, KODA, UCMR-ADA, PRS for Music, and more than a dozen others prove that public, searchable, multilingual unidentified works registries are within the capacity of CMOs large and small. What the European framework lacks is not capability but accountability. Closing that gap — through Commission standard-setting, NCA enforcement, CMO voluntary improvement, and industry coordination — would return to rightsholders the transparency that Article 13 promised but has not yet delivered.</w:t>
      </w:r>
    </w:p>
    <w:p>
      <w:r>
        <w:pict>
          <v:rect style="width:0;height:1.5pt" o:hralign="center" o:hrstd="t" o:hr="t"/>
        </w:pict>
      </w:r>
    </w:p>
    <w:bookmarkEnd w:id="91"/>
    <w:bookmarkEnd w:id="92"/>
    <w:bookmarkEnd w:id="93"/>
    <w:bookmarkStart w:id="98" w:name="research-notes-and-limitations"/>
    <w:p>
      <w:pPr>
        <w:pStyle w:val="Heading2"/>
      </w:pPr>
      <w:r>
        <w:t xml:space="preserve">Research Notes and Limitations</w:t>
      </w:r>
    </w:p>
    <w:bookmarkStart w:id="94" w:name="methodology"/>
    <w:p>
      <w:pPr>
        <w:pStyle w:val="Heading3"/>
      </w:pPr>
      <w:r>
        <w:t xml:space="preserve">Methodology</w:t>
      </w:r>
    </w:p>
    <w:p>
      <w:pPr>
        <w:pStyle w:val="FirstParagraph"/>
      </w:pPr>
      <w:r>
        <w:t xml:space="preserve">This report is based on research conducted in June 2026 across 60+ Collective Management Organisations (CMOs) in 31 European jurisdictions. Research methods included direct website visits, multi-language web searches, annual transparency report review, and cross-verification across multiple sources.</w:t>
      </w:r>
    </w:p>
    <w:bookmarkEnd w:id="94"/>
    <w:bookmarkStart w:id="95" w:name="errata-rev.-2"/>
    <w:p>
      <w:pPr>
        <w:pStyle w:val="Heading3"/>
      </w:pPr>
      <w:r>
        <w:t xml:space="preserve">Errata (Rev. 2)</w:t>
      </w:r>
    </w:p>
    <w:p>
      <w:pPr>
        <w:pStyle w:val="FirstParagraph"/>
      </w:pPr>
      <w:r>
        <w:t xml:space="preserve">Post-publication verification identified three corrections:</w:t>
      </w:r>
      <w:r>
        <w:t xml:space="preserve"> </w:t>
      </w:r>
      <w:r>
        <w:t xml:space="preserve">1.</w:t>
      </w:r>
      <w:r>
        <w:t xml:space="preserve"> </w:t>
      </w:r>
      <w:r>
        <w:rPr>
          <w:bCs/>
          <w:b/>
        </w:rPr>
        <w:t xml:space="preserve">AKM (Austria)</w:t>
      </w:r>
      <w:r>
        <w:t xml:space="preserve">: Corrected from</w:t>
      </w:r>
      <w:r>
        <w:t xml:space="preserve"> </w:t>
      </w:r>
      <w:r>
        <w:t xml:space="preserve">“</w:t>
      </w:r>
      <w:r>
        <w:t xml:space="preserve">None</w:t>
      </w:r>
      <w:r>
        <w:t xml:space="preserve">”</w:t>
      </w:r>
      <w:r>
        <w:t xml:space="preserve"> </w:t>
      </w:r>
      <w:r>
        <w:t xml:space="preserve">to</w:t>
      </w:r>
      <w:r>
        <w:t xml:space="preserve"> </w:t>
      </w:r>
      <w:r>
        <w:t xml:space="preserve">“</w:t>
      </w:r>
      <w:r>
        <w:t xml:space="preserve">Formal</w:t>
      </w:r>
      <w:r>
        <w:t xml:space="preserve">”</w:t>
      </w:r>
      <w:r>
        <w:t xml:space="preserve"> </w:t>
      </w:r>
      <w:r>
        <w:t xml:space="preserve">— a public PDF list of unidentified rightsholders was found at https://www.akm.at/wp-content/uploads/2024/09/Liste-der-nicht-ermittelbaren-BB-oder-RN.pdf</w:t>
      </w:r>
      <w:r>
        <w:t xml:space="preserve"> </w:t>
      </w:r>
      <w:r>
        <w:t xml:space="preserve">2.</w:t>
      </w:r>
      <w:r>
        <w:t xml:space="preserve"> </w:t>
      </w:r>
      <w:r>
        <w:rPr>
          <w:bCs/>
          <w:b/>
        </w:rPr>
        <w:t xml:space="preserve">EJI (Hungary)</w:t>
      </w:r>
      <w:r>
        <w:t xml:space="preserve">: Corrected from</w:t>
      </w:r>
      <w:r>
        <w:t xml:space="preserve"> </w:t>
      </w:r>
      <w:r>
        <w:t xml:space="preserve">“</w:t>
      </w:r>
      <w:r>
        <w:t xml:space="preserve">None</w:t>
      </w:r>
      <w:r>
        <w:t xml:space="preserve">”</w:t>
      </w:r>
      <w:r>
        <w:t xml:space="preserve"> </w:t>
      </w:r>
      <w:r>
        <w:t xml:space="preserve">to</w:t>
      </w:r>
      <w:r>
        <w:t xml:space="preserve"> </w:t>
      </w:r>
      <w:r>
        <w:t xml:space="preserve">“</w:t>
      </w:r>
      <w:r>
        <w:t xml:space="preserve">Substantive</w:t>
      </w:r>
      <w:r>
        <w:t xml:space="preserve">”</w:t>
      </w:r>
      <w:r>
        <w:t xml:space="preserve"> </w:t>
      </w:r>
      <w:r>
        <w:t xml:space="preserve">— a public search interface exists at https://eji.hu/jogosultkutatas/track</w:t>
      </w:r>
      <w:r>
        <w:t xml:space="preserve"> </w:t>
      </w:r>
      <w:r>
        <w:t xml:space="preserve">3.</w:t>
      </w:r>
      <w:r>
        <w:t xml:space="preserve"> </w:t>
      </w:r>
      <w:r>
        <w:rPr>
          <w:bCs/>
          <w:b/>
        </w:rPr>
        <w:t xml:space="preserve">EEL (Estonia)</w:t>
      </w:r>
      <w:r>
        <w:t xml:space="preserve">: Confirmed as</w:t>
      </w:r>
      <w:r>
        <w:t xml:space="preserve"> </w:t>
      </w:r>
      <w:r>
        <w:t xml:space="preserve">“</w:t>
      </w:r>
      <w:r>
        <w:t xml:space="preserve">Substantive</w:t>
      </w:r>
      <w:r>
        <w:t xml:space="preserve">”</w:t>
      </w:r>
      <w:r>
        <w:t xml:space="preserve"> </w:t>
      </w:r>
      <w:r>
        <w:t xml:space="preserve">— downloadable Excel list exists at https://www.eel.ee/et/tuvastamata-esitajad/</w:t>
      </w:r>
    </w:p>
    <w:p>
      <w:pPr>
        <w:pStyle w:val="BodyText"/>
      </w:pPr>
      <w:r>
        <w:t xml:space="preserve">These corrections suggest a systematic undercounting bias: CMOs with non-prominently linked but publicly available lists may have been missed. The overall compliance rate is approximately 34% (not 30%).</w:t>
      </w:r>
    </w:p>
    <w:bookmarkEnd w:id="95"/>
    <w:bookmarkStart w:id="96" w:name="classification-framework"/>
    <w:p>
      <w:pPr>
        <w:pStyle w:val="Heading3"/>
      </w:pPr>
      <w:r>
        <w:t xml:space="preserve">Classification Framework</w:t>
      </w:r>
    </w:p>
    <w:p>
      <w:pPr>
        <w:numPr>
          <w:ilvl w:val="0"/>
          <w:numId w:val="1001"/>
        </w:numPr>
        <w:pStyle w:val="Compact"/>
      </w:pPr>
      <w:r>
        <w:rPr>
          <w:bCs/>
          <w:b/>
        </w:rPr>
        <w:t xml:space="preserve">Substantive Compliance</w:t>
      </w:r>
      <w:r>
        <w:t xml:space="preserve">: Publicly accessible, searchable registry with no login required</w:t>
      </w:r>
    </w:p>
    <w:p>
      <w:pPr>
        <w:numPr>
          <w:ilvl w:val="0"/>
          <w:numId w:val="1001"/>
        </w:numPr>
        <w:pStyle w:val="Compact"/>
      </w:pPr>
      <w:r>
        <w:rPr>
          <w:bCs/>
          <w:b/>
        </w:rPr>
        <w:t xml:space="preserve">Formal Compliance</w:t>
      </w:r>
      <w:r>
        <w:t xml:space="preserve">: Registry exists but requires membership/login or is in non-searchable format (PDF only)</w:t>
      </w:r>
    </w:p>
    <w:p>
      <w:pPr>
        <w:numPr>
          <w:ilvl w:val="0"/>
          <w:numId w:val="1001"/>
        </w:numPr>
        <w:pStyle w:val="Compact"/>
      </w:pPr>
      <w:r>
        <w:rPr>
          <w:bCs/>
          <w:b/>
        </w:rPr>
        <w:t xml:space="preserve">Partial Compliance</w:t>
      </w:r>
      <w:r>
        <w:t xml:space="preserve">: Limited registry, outdated, or members-only with restricted functionality</w:t>
      </w:r>
    </w:p>
    <w:p>
      <w:pPr>
        <w:numPr>
          <w:ilvl w:val="0"/>
          <w:numId w:val="1001"/>
        </w:numPr>
        <w:pStyle w:val="Compact"/>
      </w:pPr>
      <w:r>
        <w:rPr>
          <w:bCs/>
          <w:b/>
        </w:rPr>
        <w:t xml:space="preserve">None</w:t>
      </w:r>
      <w:r>
        <w:t xml:space="preserve">: No identifiable unidentified works registry found</w:t>
      </w:r>
    </w:p>
    <w:bookmarkEnd w:id="96"/>
    <w:bookmarkStart w:id="97" w:name="data-sources"/>
    <w:p>
      <w:pPr>
        <w:pStyle w:val="Heading3"/>
      </w:pPr>
      <w:r>
        <w:t xml:space="preserve">Data Sources</w:t>
      </w:r>
    </w:p>
    <w:p>
      <w:pPr>
        <w:pStyle w:val="FirstParagraph"/>
      </w:pPr>
      <w:r>
        <w:t xml:space="preserve">Research draws on: EU Directive 2014/26/EU and national implementing legislation; CMO official websites and annual transparency reports; national supervisory authority publications; CISAC and industry body reports.</w:t>
      </w:r>
    </w:p>
    <w:bookmarkEnd w:id="97"/>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Springer. https://link.springer.com/article/10.1007/s10824-021-09412-9</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EUR-Lex. https://eur-lex.europa.eu/legal-content/EN/TXT/HTML/?uri=CELEX:32014L0026</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UCMR-ADA. https://ucmr-ada.ro/membri/opere-muzicale-neidentificate/</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HDS ZAMP. https://www.zamp.hr/clanak/pregled/2586/evidencija-neprijavljenih-djela-i-nositelja-autorskih-prava/category</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WikipediaWikipedia. https://is.wikipedia.org/wiki/STEF</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GEMA. https://www.gema.de/de/w/hilfe/allgemein/einnahmen/fragen-antworten/verteilung-berechtigter-nicht-festgestellt-oder-ausfindig-gemacht</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saa-authors.eu. https://www.saa-authors.eu/en/file/file/784</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GOV.UK. https://www.gov.uk/government/publications/music-streaming-metadata-report-and-project-update/executive-summary-music-streaming-metadata-report</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credidam.ro. http://credidam.ro/wp-en/?page_id=31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iceservices.com. https://www.iceservices.com/peermusic-extends-with-ice/</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Comisión Europea. https://digital-strategy.ec.europa.eu/en/library/reports-collective-management-and-extended-licensing</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ivir.nl. https://www.ivir.nl/publicaties/download/Study_on_collective_practices_in_the_digital_environment.pdf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swisscopyright.ch. https://www.swisscopyright.ch/en/legal-principles/supervision.html</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iceservices.com. https://www.iceservices.com/about/</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iceservices.com. https://www.iceservices.com/ice-to-welcome-teosto-tono-and-stef-to-the-ice-core/</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ddex.net. https://new.ddex.net/wp-content/uploads/2023/09/31.-bwarmoverview230808.pdf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La Sacem. https://repertoire.sacem.fr/en/unidentified-works/search</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La Sacem. https://repertoire.sacem.fr/en/unidentified-works/terms-of-use</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PRS for Music. https://www.prsformusic.com/-/media/files/prs-for-music/corporate/financials/2024/prs-annual-transparency-report-2024.ashx</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ncb.dk. http://www.ncb.dk/pdf/TransparencyReport-2022.pdf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Lobbyregister beim Deutschen Bundestag. https://www.lobbyregister.bundestag.de/media/89/3e/613802/GEMA_Geschaeftsbericht_2024-komprimiert.pdf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Centro di Ateneo per i Diritti Umani - Università di Padova. https://unipd-centrodirittiumani.it/en/news/the-italian-communications-regulatory-authority-functions-and-composition-in-2025</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https://www.societe.sacem.fr/actuimg/fr/live/v4/La-Sacem/Actualites/2025/SACEM_Rapport_transparence_2024.pdf</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Music Week. https://www.musicweek.com/publishing/read/black-box-disorder-ivors-academy-research-reveals-500m-streaming-data-gap/083934</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sabam.be. https://www.sabam.be/sites/default/files/Sabam_Transparency_Report_2024.pdf</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Dalloz. https://codes.droit.org/PDF/Code%20de%20la%20propri%C3%A9t%C3%A9%20intellectuelle.pdf</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bumastemra.nl. https://jaarverslag.bumastemra.nl/wp-content/uploads/2022/07/Annual-report-Stemra-2021.pdf</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arcticartssummit.com. https://arcticartssummit.com/articles/11-sweden-based-sami-artists-addressing-indigenous-pasts-presents-and-futures/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Deutsches Patent- und Markenamt. https://www.dpma.de/english/our_office/about_us/further_duties/cmos_copyright/index.html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bumastemra.nl. https://jaarverslag.bumastemra.nl/en/2024/annual-report/</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La Sacem. https://societe.sacem.fr/repimg/en/live/anglais/Sacem/Press_Resources/Annual_reports/SACEM_annual_report_and_accounts_2014_GB_WEB.pdf</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https://sedamusica.es/static/docs/transparencia/2021/SEDA_Memoria_de_Actividades_2021.pdf</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Agencia Estatal Boletín Oficial del Estado. https://www.boe.es/buscar/act.php?id=BOE-A-1996-8930</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bumastemra.nl. https://jaarverslag.bumastemra.nl/en/2024/half-yearly-report-2024/message-from-the-management-board/</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RechtEasy.at. https://www.rechteasy.at/wiki/aufsichtsbehoerde-fuer-verwertungsgesellschaften/</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Dudkowiak Kopeć &amp; Putyra. https://www.dudkowiak.com/ip-law/copyrights-regulation-in-poland/</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unesco-socio.in.ua. https://ep.unesco-socio.in.ua/wp-content/uploads/archive/EP-2025-1/EP_2025_1_277.pdf</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copyright.gov.pl. https://www.copyright.gov.pl/pages/main-page/copyright-in-poland/collective-management.php</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UCMR-ADA. https://ucmr-ada.ro/wp-content/uploads/2019/07/internal-regulations.pdf</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SUISA. https://www.suisa.ch/en/Musikschaffende/Werkanmeldung/Inquiry-List.html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Spedidam. https://www.spedidam.fr/politique-de-confidentialite/</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Bug.hr. https://www.bug.hr/umjetna-inteligencija/zamp-smatra-da-je-ai-glazba-nastala-ilegalno-doznali-smo-detalje-43185</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Liste-der-nicht-ermittelbaren-BB-oder-RN.pdf. chrome-extension://gpkoddcemgbmajecfkkolkgfcchmfpge/https://www.akm.at/wp-content/uploads/2024/09/Liste-der-nicht-ermittelbaren-BB-oder-RN.pdf</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Музикаутор. https://www.musicautor.org/en/p/avtori/neidentificiran-repertoar</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autodia.gr. https://www.autodia.gr/en/</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OSA.CZ. https://www.osa.cz/blog/neidentifikovana-dila-nenechte-si-ujit-sve-autorske-odmeny/</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Artisjus. https://www.artisjus.hu/egyesulet/ismeretlen-vagy-ismeretlen-helyen-tartozkodo-jogosultak/</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Verwertungsgesellschaft der Filmschaffenden | VdFS. https://www.vdfs.at/media/transparencyreport_for_2024.pdf</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Stim. https://www.stim.se/api/files/file/stim-ar21-insynsrapport.pdf</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GEMA. https://www.gema.de/en/music-creators/online-services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Világgazdaság. https://www.vg.hu/extra/2024/12/eji-kutatas-800-millio-forint-eddig-ismeretlen-jogdij-talalt-gazdara</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grammo.gr. http://www.grammo.gr/using-music/use-of-music/?lang=en</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Note Legali. https://www.notelegali.it/recupero-compensi-imaie/</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SACEM Luxembourg : Les droits d’auteur au Luxembourg. https://www.sacem.lu/fr</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Buma/Stemra. https://bumastemra.nl/en/music-identification/</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ZAiKS. https://zaiks.org.pl/artykuly/2024/grudzien/rok-w-zaiks-ie</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https://www.spautores.pt/</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ldlaw.com.cy. https://ldlaw.com.cy/2026/02/06/intellectual-property-rights-in-cyprus/</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SGAE. https://www.sgae.es/sobre-sgae/somos-transparentes/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Orphiq. https://orphiq.com/resources/unclaimed-music-royalties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PRS for Music. https://www.prsformusic.com/royalties/claim-unpaid-royalties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PPL. https://www.ppluk.com/help-centre/faq/why-havent-i-been-paid/</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Intergram. https://www.intergram.cz/aktuality/neurceni-a-nenalezeni-nositele-prav-2024</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EEL. https://www.eel.ee/et/tuvastamata-esitajad/</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Gramex ry. https://www.gramex.fi/loytyyko-biisisi-tunnistamattomista-soittotapahtumista-0426/</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Adami. https://www.adami.fr/aide/repertoire/</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Spedidam. https://www.spedidam.fr/ressources/recherche-ilad/</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GVL. https://gvl.de/en</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GEA - GRAMMO, ΕΡΑΤΩ, ΑΠΟΛΛΩΝ. https://www.geamusic.gr/en/about-us/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https://eji.hu/jogosultkutatas/track</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NUOVOIMAIE. https://www.nuovoimaie.it/faq/</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NORMA. https://www.stichtingnorma.nl/en/about-norma/</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STOART. https://stoart.org.pl/</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scapr.org. https://www.scapr.org/members/sawp/</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Home – GDA. https://www.gda.pt/</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CREDIDAM – Fonograme neidentificate. https://credidam.ro/wp/artisti-interpreti/piese-neidentificate/</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The Musicians' Union. https://musiciansunion.org.uk/news/unclaimed-royalties-list-published</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Culture of Slovenia. https://www.culture.si/en/IPF_-_Institute_for_Protection_of_Phonogram_Performers_and_Producers_Rights</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NORMA. https://www.stichtingnorma.nl/wp-content/uploads/2015/11/NIEUWE-BROCHURE-NORMA-def1.pdf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CREDIDAM. https://credidam.ro/wp/</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SWISSPERFORM – because culture is a valuable asset.. https://www.swissperform.ch/en/</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ZAiKS. https://zaiks.org.pl/artykuly/2026/styczen/daj-sie-znalezc-tworcom-i-uzytkownikom</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CISAC. https://www.cisac.org/Newsroom/society-news/2023-results-sacem-posts-record-collection-revenue-its-transformation</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Spedidam. https://www.spedidam.fr/faq/artiste-interprete/</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service. https://koda.dk/udbetaling-for-din-musik/penge-til-gode</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service. https://koda.dk/viden-og-hjaelp/musikforlag-i-koda/kodas-vaerktoejer-til-musikforlag</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EEL. https://www.eel.ee/?lang=eng</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Parlament Österreich. https://www.parlament.gv.at/dokument/XXV/I/1078/fname_522614.pdf</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Zeit. https://www.zeit.de/digital/internet/2012-10/gema-vermutung-petition/seite-2</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About NCB - NCB. https://www.ncb.dk/index.php/about-ncb/#</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Gesetze im Internet. https://www.gesetze-im-internet.de/englisch_urhg/englisch_urhg.html</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GVL. https://gvl.de/sites/default/files/2024-08/GVL_Transparenzbericht_2023_EN_WEB_0.pdf</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wikimedia.org. https://commons.wikimedia.org/wiki/Commons:Copyright_rules_by_territory/Germany/pt</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GEMA | Musik ist uns was wert. https://www.gema.de/de</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europeancopyrightsociety.org. https://europeancopyrightsociety.org/wp-content/uploads/2020/06/ecs-comment-ecl_art_8-12_20200613.pdf</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202407-ptca-uso-no-identificado.pdf. chrome-extension://gpkoddcemgbmajecfkkolkgfcchmfpge/https://www.sgae.es/wp-content/uploads/2024/10/202407-ptca-uso-no-identificado.pdf</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music-industry.hu. https://www.music-industry.hu/eji-kutatas-800-millio-forint-ismeretlen-jogdij-talalt-gazdara/</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Billboard. https://www.billboard.com/pro/how-italys-siae-shapes-the-future-of-copyright-protection/</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Music Business Worldwide. https://www.musicbusinessworldwide.com/cisac-reports-sharp-rise-in-collections-in-greece-and-global-music-identifier-system-progress-in-annual-report/</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WIPO - World Intellectual Property Organization. https://www.wipo.int/wipolex/en/legislation/details/22350</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chambersandco.com. https://www.chambersandco.com/copyright-law-in-cyprus/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sacem.lu. https://www.sacem.lu/en/music-creators/notifications</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sacem.lu. https://www.sacem.lu/en/news</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GEMA. https://www.gema.de/en/music-creators/royalties/claim/types-of-use/radio-tv-film</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swissperform.ch. https://www.swissperform.ch/en/myswissperform/</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IPRS. https://iprs.org/wp-content/uploads/COM24-0767_CISAC_Global_Collections_Report_2024_(for_2023_data)_2024-10-24_EN%20(1).pdf</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Digital Music News. https://www.digitalmusicnews.com/2017/06/12/stim-spotify-bills/</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La Sacem. https://repertoire.sacem.fr/oeuvre-non-identifiee/recherche</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Dansk Artist Forbund. https://www.artisten.dk/en/nyheder-artikler/do-you-have-gramex-money-owing-check-the-list-now/</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bumastemra.nl. https://jaarverslag.bumastemra.nl/en/2024/annual-report/explanation-from-the-management-board/</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GEMA. https://www.gema.de/en/music-creators/online-services-for-gema-members/musical-works-enhanced-access</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GVL | Verwertungsgesellschaft für Künstler*innen und Labels. https://gvl.de/</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AIE. https://www.aie.es/en/</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lobbyfacts.eu. https://www.lobbyfacts.eu/datacard/stowarzyszenie-autor%C3%B3w-zaiks?rid=263963514962-66&amp;sid=171358</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Artisjus. https://www.artisjus.hu/wp-content/uploads/2020/03/Artisjus_Online_System_booklet_fuzet.pdf</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UCMR-ADA. https://ucmr-ada.ro/en-tariffs/</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SoundExchange. https://www.soundexchange.com/news/soundexchange-becomes-first-scapr-non-member-organization-to-create-and-issue-international-performer-numbers-ipn/</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iceservices.com. https://www.iceservices.com/ice-passes-e1bn-a-year-in-royalties-distributed/</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Music Business Worldwide. https://www.musicbusinessworldwide.com/pan-european-licensing-hub-ice-services-has-paid-out-4-88bn-to-rightsholders-to-date/</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iceservices.com. https://www.iceservices.com/innovation/cube/</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script-ed.org. https://script-ed.org/article/the-collective-management-of-performers-rights-in-the-uk-a-story-of-competing-interests-2/</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zaiks.org.pl. https://akademia.zaiks.org.pl/wiedza/zakladka-poszukiwani-tworcy-jak-z-niej-skorzystac-instrukcja</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La Sacem. https://repertoire.sacem.fr/resultats?filters=parties&amp;query=BONACCORTI%20ENRICA</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HDS ZAMP. https://www.zamp.hr/autori/pregled/clanstvo/2586/evidencija-neprijavljenih-djela-i-nositelja-autorskih-prava</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English - Artisjus. https://www.artisjus.hu/english/</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GEMA. https://www.gema.de/de/hilfe/musikurheber/werke-repertoire/werkdokumentation-und-nutzungen</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SIAE. https://www.siae.it/it/notizie/royalties-musicali-digitali/</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EUR-Lex. https://eur-lex.europa.eu/legal-content/EN/TXT/PDF/?uri=CELEX:32014L0026</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Slovenský ochranný zväz autorský. https://www.soza.sk/autori-a-vydavatelia/zoznamy-neidentifikovanych-diel</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U.S. Copyright Office. https://www.copyright.gov/policy/unclaimed-royalties/unclaimed-royalties-final-report.pdf</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CISAC. https://www.cisac.org/formats</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Mechanical Licensing Collective. https://www.themlc.com/bulk-database-feed</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Mechanical Licensing Collective. https://www.themlc.com/dataprograms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MusicRow. https://musicrow.com/2024/12/the-mlcs-distributor-unmatched-recordings-portal-surpasses-100-partners/</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Mechanical Licensing Collective. https://www.themlc.com/durp</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CISAC. https://www.cisac.org/services/information-services/cis-net</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CISAC. https://www.cisac.org/services/information-services</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PRS for Music. https://www.prsformusic.com/m-magazine/news/new-technology-ice-speed-copyright-data-processing</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CISAC. https://members.cisac.org/CisacPortal/cisacDownloadFollow.do?docId=49101</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ddex.net. https://kb.ddex.net/implementing-each-standard/musical-work-data-and-rights-communication-(mwdr)/bulk-communication-of-work-and-recording-metadata-(bwarm)/how-to-use-bwarm</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ddex.net. https://kb.ddex.net/implementing-each-standard/musical-work-data-and-rights-communication-(mwdr)/bulk-communication-of-work-and-recording-metadata-(bwarm)</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Billboard. https://www.billboard.com/pro/amra-kobalt-global-digital-collections-society-growth-plan/</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Hypebot. https://www.hypebot.com/the-failure-of-the-global-repertoire-database-effort-draft/</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Digital Music News. https://www.digitalmusicnews.com/2014/07/10/global-repertoire-database-declared-global-failure/</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Music Ally. https://musically.com/2014/07/11/prs-disappointed-at-global-repertoire-database-collapse/</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WIPO - World Intellectual Property Organization. https://www.wipo.int/meetings/en/2011/wipo_cr_doc_ge_11/pdf/collective.pdf</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Billboard. https://www.billboard.com/music/music-news/ascap-sacem-prs-for-music-initiative-improve-royalty-collection-7752442/</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MusicRow. https://musicrow.com/2017/04/ascap-sacem-prs-for-music-launch-new-copyright-information-sharing-technology/</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service. https://koda.dk/en/revenue-from-your-music/claim-unpaid-royalties</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Rapport 2024. https://rapportannuel2024.sacem.fr/</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WIPO - World Intellectual Property Organization. https://www.wipo.int/wipolex/en/legislation/details/22832</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locize. https://www.locize.com/eu-accessibility-act-localization</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CISAC. https://www.cisac.org/sites/main/files/files/2020-10/SG13-0787R4_Professional_Rules_for_Musical_Societies_2018-11-15_EN.pdf</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iceservices.com. https://www.iceservices.com/</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Gramex ry. https://www.gramex.fi/en/is-your-song-among-the-unidentified-playback-list/</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wikipedia.org. https://en.wikipedia.org/wiki/Swiss_Federal_Institute_of_Intellectual_Property</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ncb.dk. http://www.ncb.dk/pdf/TransparencyReport-2024.pdf</w:t>
      </w:r>
      <w:bookmarkEnd w:id="10157"/>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2" Target="media/rId62.png"/><Relationship Type="http://schemas.openxmlformats.org/officeDocument/2006/relationships/image" Id="rId68" Target="media/rId68.png"/><Relationship Id="rId6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2026-06-05T15:50:44Z</dcterms:created>
  <dcterms:modified xsi:type="dcterms:W3CDTF">2026-06-05T15:50:44Z</dcterms:modified>
</cp:coreProperties>
</file>

<file path=docProps/custom.xml><?xml version="1.0" encoding="utf-8"?>
<Properties xmlns="http://schemas.openxmlformats.org/officeDocument/2006/custom-properties" xmlns:vt="http://schemas.openxmlformats.org/officeDocument/2006/docPropsVTypes"/>
</file>