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i w:val="false"/>
          <w:iCs w:val="false"/>
          <w:color w:val="9CA3AF"/>
          <w:sz w:val="22"/>
          <w:szCs w:val="22"/>
        </w:rPr>
        <w:t xml:space="preserve">UST ELEVATE</w:t>
      </w:r>
    </w:p>
    <w:p>
      <w:pPr>
        <w:spacing w:after="140" w:before="0"/>
        <w:jc w:val="center"/>
      </w:pPr>
      <w:r>
        <w:rPr>
          <w:rFonts w:ascii="Calibri" w:cs="Calibri" w:eastAsia="Calibri" w:hAnsi="Calibri"/>
          <w:b/>
          <w:bCs/>
          <w:i w:val="false"/>
          <w:iCs w:val="false"/>
          <w:color w:val="1B3A6B"/>
          <w:sz w:val="40"/>
          <w:szCs w:val="40"/>
        </w:rPr>
        <w:t xml:space="preserve">Day 50  —  Final External Review, Programme Retrospective &amp; Campus Handover</w:t>
      </w:r>
    </w:p>
    <w:p>
      <w:pPr>
        <w:spacing w:after="400" w:before="0"/>
        <w:jc w:val="center"/>
      </w:pPr>
      <w:r>
        <w:rPr>
          <w:rFonts w:ascii="Calibri" w:cs="Calibri" w:eastAsia="Calibri" w:hAnsi="Calibri"/>
          <w:b w:val="false"/>
          <w:bCs w:val="false"/>
          <w:i w:val="false"/>
          <w:iCs w:val="false"/>
          <w:color w:val="374151"/>
          <w:sz w:val="22"/>
          <w:szCs w:val="22"/>
        </w:rPr>
        <w:t xml:space="preserve">Sprint 4  ·  Week 10  ·  Final Review  ·  Trainee Study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EFF6FF" w:val="clear"/>
            <w:tcMar>
              <w:top w:type="dxa" w:w="200"/>
              <w:left w:type="dxa" w:w="240"/>
              <w:bottom w:type="dxa" w:w="200"/>
              <w:right w:type="dxa" w:w="240"/>
            </w:tcMar>
          </w:tcPr>
          <w:p>
            <w:pPr>
              <w:spacing w:after="30" w:before="0"/>
              <w:jc w:val="left"/>
            </w:pPr>
            <w:r>
              <w:rPr>
                <w:rFonts w:ascii="Calibri" w:cs="Calibri" w:eastAsia="Calibri" w:hAnsi="Calibri"/>
                <w:b/>
                <w:bCs/>
                <w:i w:val="false"/>
                <w:iCs w:val="false"/>
                <w:color w:val="1B3A6B"/>
                <w:sz w:val="22"/>
                <w:szCs w:val="22"/>
              </w:rPr>
              <w:t xml:space="preserve">What today is about</w:t>
            </w:r>
          </w:p>
          <w:p>
            <w:pPr>
              <w:spacing w:after="40" w:before="0"/>
              <w:jc w:val="left"/>
            </w:pPr>
            <w:r>
              <w:rPr>
                <w:rFonts w:ascii="Calibri" w:cs="Calibri" w:eastAsia="Calibri" w:hAnsi="Calibri"/>
                <w:b w:val="false"/>
                <w:bCs w:val="false"/>
                <w:i w:val="false"/>
                <w:iCs w:val="false"/>
                <w:color w:val="374151"/>
                <w:sz w:val="21"/>
                <w:szCs w:val="21"/>
              </w:rPr>
              <w:t xml:space="preserve">This is the last day of the ten-week programme. There is no new technical material today — everything from Day 1's first Python script through yesterday's final integration tests is already built. Today is entirely about demonstrating it: a live, external review of the complete two-application system, a full retrospective looking back across all four sprints, and campus handover — the formal close of this cohort's onboarding and the transition to whatever comes next.</w:t>
            </w:r>
          </w:p>
          <w:p>
            <w:pPr>
              <w:spacing w:after="14" w:before="0"/>
              <w:jc w:val="left"/>
            </w:pPr>
            <w:r>
              <w:rPr>
                <w:rFonts w:ascii="Calibri" w:cs="Calibri" w:eastAsia="Calibri" w:hAnsi="Calibri"/>
                <w:b/>
                <w:bCs/>
                <w:i w:val="false"/>
                <w:iCs w:val="false"/>
                <w:color w:val="1B3A6B"/>
                <w:sz w:val="21"/>
                <w:szCs w:val="21"/>
              </w:rPr>
              <w:t xml:space="preserve">Today's sections:</w:t>
            </w:r>
          </w:p>
          <w:p>
            <w:pPr>
              <w:spacing w:after="14" w:before="0"/>
              <w:jc w:val="left"/>
            </w:pPr>
            <w:r>
              <w:rPr>
                <w:rFonts w:ascii="Calibri" w:cs="Calibri" w:eastAsia="Calibri" w:hAnsi="Calibri"/>
                <w:b w:val="false"/>
                <w:bCs w:val="false"/>
                <w:i w:val="false"/>
                <w:iCs w:val="false"/>
                <w:color w:val="374151"/>
                <w:sz w:val="21"/>
                <w:szCs w:val="21"/>
              </w:rPr>
              <w:t xml:space="preserve">•  Section 1: What the final external review actually assesses</w:t>
            </w:r>
          </w:p>
          <w:p>
            <w:pPr>
              <w:spacing w:after="14" w:before="0"/>
              <w:jc w:val="left"/>
            </w:pPr>
            <w:r>
              <w:rPr>
                <w:rFonts w:ascii="Calibri" w:cs="Calibri" w:eastAsia="Calibri" w:hAnsi="Calibri"/>
                <w:b w:val="false"/>
                <w:bCs w:val="false"/>
                <w:i w:val="false"/>
                <w:iCs w:val="false"/>
                <w:color w:val="374151"/>
                <w:sz w:val="21"/>
                <w:szCs w:val="21"/>
              </w:rPr>
              <w:t xml:space="preserve">•  Section 2: Preparing the live demo — the complete system, in order</w:t>
            </w:r>
          </w:p>
          <w:p>
            <w:pPr>
              <w:spacing w:after="14" w:before="0"/>
              <w:jc w:val="left"/>
            </w:pPr>
            <w:r>
              <w:rPr>
                <w:rFonts w:ascii="Calibri" w:cs="Calibri" w:eastAsia="Calibri" w:hAnsi="Calibri"/>
                <w:b w:val="false"/>
                <w:bCs w:val="false"/>
                <w:i w:val="false"/>
                <w:iCs w:val="false"/>
                <w:color w:val="374151"/>
                <w:sz w:val="21"/>
                <w:szCs w:val="21"/>
              </w:rPr>
              <w:t xml:space="preserve">•  Section 3: A suggested demo script</w:t>
            </w:r>
          </w:p>
          <w:p>
            <w:pPr>
              <w:spacing w:after="14" w:before="0"/>
              <w:jc w:val="left"/>
            </w:pPr>
            <w:r>
              <w:rPr>
                <w:rFonts w:ascii="Calibri" w:cs="Calibri" w:eastAsia="Calibri" w:hAnsi="Calibri"/>
                <w:b w:val="false"/>
                <w:bCs w:val="false"/>
                <w:i w:val="false"/>
                <w:iCs w:val="false"/>
                <w:color w:val="374151"/>
                <w:sz w:val="21"/>
                <w:szCs w:val="21"/>
              </w:rPr>
              <w:t xml:space="preserve">•  Section 4: The viva — what kind of questions to expect, across all four sprints</w:t>
            </w:r>
          </w:p>
          <w:p>
            <w:pPr>
              <w:spacing w:after="14" w:before="0"/>
              <w:jc w:val="left"/>
            </w:pPr>
            <w:r>
              <w:rPr>
                <w:rFonts w:ascii="Calibri" w:cs="Calibri" w:eastAsia="Calibri" w:hAnsi="Calibri"/>
                <w:b w:val="false"/>
                <w:bCs w:val="false"/>
                <w:i w:val="false"/>
                <w:iCs w:val="false"/>
                <w:color w:val="374151"/>
                <w:sz w:val="21"/>
                <w:szCs w:val="21"/>
              </w:rPr>
              <w:t xml:space="preserve">•  Section 5: The programme retrospective — structure and purpose</w:t>
            </w:r>
          </w:p>
          <w:p>
            <w:pPr>
              <w:spacing w:after="14" w:before="0"/>
              <w:jc w:val="left"/>
            </w:pPr>
            <w:r>
              <w:rPr>
                <w:rFonts w:ascii="Calibri" w:cs="Calibri" w:eastAsia="Calibri" w:hAnsi="Calibri"/>
                <w:b w:val="false"/>
                <w:bCs w:val="false"/>
                <w:i w:val="false"/>
                <w:iCs w:val="false"/>
                <w:color w:val="374151"/>
                <w:sz w:val="21"/>
                <w:szCs w:val="21"/>
              </w:rPr>
              <w:t xml:space="preserve">•  Section 6: Campus handover — what it is and what's expected</w:t>
            </w:r>
          </w:p>
          <w:p>
            <w:pPr>
              <w:spacing w:after="0" w:before="20"/>
              <w:jc w:val="left"/>
            </w:pPr>
            <w:r>
              <w:rPr>
                <w:rFonts w:ascii="Calibri" w:cs="Calibri" w:eastAsia="Calibri" w:hAnsi="Calibri"/>
                <w:b/>
                <w:bCs/>
                <w:i w:val="false"/>
                <w:iCs w:val="false"/>
                <w:color w:val="1B3A6B"/>
                <w:sz w:val="21"/>
                <w:szCs w:val="21"/>
              </w:rPr>
              <w:t xml:space="preserve">Today closes the programme. Every section below is preparation, not new material to learn.</w:t>
            </w:r>
          </w:p>
        </w:tc>
      </w:tr>
    </w:tbl>
    <w:p>
      <w:pPr>
        <w:spacing w:after="80"/>
      </w:pPr>
      <w:r>
        <w:t xml:space="preserve"/>
      </w:r>
    </w:p>
    <w:p>
      <w:pPr>
        <w:spacing w:after="0" w:before="200"/>
        <w:jc w:val="center"/>
      </w:pPr>
      <w:r>
        <w:rPr>
          <w:rFonts w:ascii="Calibri" w:cs="Calibri" w:eastAsia="Calibri" w:hAnsi="Calibri"/>
          <w:color w:val="9CA3AF"/>
          <w:sz w:val="18"/>
          <w:szCs w:val="18"/>
        </w:rPr>
        <w:t xml:space="preserve">Final Review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1:  What the Final External Review Actually Assesses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Independent Competence, Across the Whole System, Together</w:t>
            </w:r>
          </w:p>
          <w:p>
            <w:pPr>
              <w:spacing w:after="100" w:before="0"/>
              <w:jc w:val="left"/>
            </w:pPr>
            <w:r>
              <w:rPr>
                <w:rFonts w:ascii="Calibri" w:cs="Calibri" w:eastAsia="Calibri" w:hAnsi="Calibri"/>
                <w:b w:val="false"/>
                <w:bCs w:val="false"/>
                <w:i w:val="false"/>
                <w:iCs w:val="false"/>
                <w:color w:val="374151"/>
                <w:sz w:val="21"/>
                <w:szCs w:val="21"/>
              </w:rPr>
              <w:t xml:space="preserve">The final review is deliberately NOT a re-test of any single sprint's material — it assesses whether the complete two-application system (the Sprint 2 REST API and the Sprint 4 Flask Client) works together, live, in front of someone who was not in the room for the last ten weeks. It is the same external-review format used at the end of Sprints 1, 2, and 3 (Days 15, 25, 40), now covering the ENTIRE programme's output in one sitting.</w:t>
            </w:r>
          </w:p>
          <w:p>
            <w:pPr>
              <w:spacing w:after="120" w:before="0"/>
              <w:jc w:val="left"/>
            </w:pPr>
            <w:r>
              <w:rPr>
                <w:rFonts w:ascii="Calibri" w:cs="Calibri" w:eastAsia="Calibri" w:hAnsi="Calibri"/>
                <w:b w:val="false"/>
                <w:bCs w:val="false"/>
                <w:i w:val="false"/>
                <w:iCs w:val="false"/>
                <w:color w:val="374151"/>
                <w:sz w:val="21"/>
                <w:szCs w:val="21"/>
              </w:rPr>
              <w:t xml:space="preserve">This is why yesterday's integration testing mattered specifically: today's reviewer will click through the actual application, not read about it — every CRUD operation, every error page, every responsive breakpoint is fair game, live, with no opportunity to say 'it should work' instead of showing that it does.</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Explain what makes this review different from each sprint's own external review</w:t>
            </w:r>
          </w:p>
          <w:p>
            <w:pPr>
              <w:spacing w:after="40" w:before="0"/>
              <w:jc w:val="left"/>
            </w:pPr>
            <w:r>
              <w:rPr>
                <w:rFonts w:ascii="Calibri" w:cs="Calibri" w:eastAsia="Calibri" w:hAnsi="Calibri"/>
                <w:b w:val="false"/>
                <w:bCs w:val="false"/>
                <w:i w:val="false"/>
                <w:iCs w:val="false"/>
                <w:color w:val="374151"/>
                <w:sz w:val="20"/>
                <w:szCs w:val="20"/>
              </w:rPr>
              <w:t xml:space="preserve">✓  Identify what a reviewer is actually evaluating today</w:t>
            </w:r>
          </w:p>
          <w:p>
            <w:pPr>
              <w:spacing w:after="40" w:before="0"/>
              <w:jc w:val="left"/>
            </w:pPr>
            <w:r>
              <w:rPr>
                <w:rFonts w:ascii="Calibri" w:cs="Calibri" w:eastAsia="Calibri" w:hAnsi="Calibri"/>
                <w:b w:val="false"/>
                <w:bCs w:val="false"/>
                <w:i w:val="false"/>
                <w:iCs w:val="false"/>
                <w:color w:val="374151"/>
                <w:sz w:val="20"/>
                <w:szCs w:val="20"/>
              </w:rPr>
              <w:t xml:space="preserve">✓  Explain why yesterday's testing day directly determines today's outcome</w:t>
            </w:r>
          </w:p>
          <w:p>
            <w:pPr>
              <w:spacing w:after="40" w:before="0"/>
              <w:jc w:val="left"/>
            </w:pPr>
            <w:r>
              <w:rPr>
                <w:rFonts w:ascii="Calibri" w:cs="Calibri" w:eastAsia="Calibri" w:hAnsi="Calibri"/>
                <w:b w:val="false"/>
                <w:bCs w:val="false"/>
                <w:i w:val="false"/>
                <w:iCs w:val="false"/>
                <w:color w:val="374151"/>
                <w:sz w:val="20"/>
                <w:szCs w:val="20"/>
              </w:rPr>
              <w:t xml:space="preserve">✓  Distinguish 'demonstrating competence' from 'reciting what was learned'</w:t>
            </w:r>
          </w:p>
        </w:tc>
      </w:tr>
    </w:tbl>
    <w:p>
      <w:pPr>
        <w:spacing w:after="120" w:before="220"/>
      </w:pPr>
      <w:r>
        <w:rPr>
          <w:rFonts w:ascii="Calibri" w:cs="Calibri" w:eastAsia="Calibri" w:hAnsi="Calibri"/>
          <w:b/>
          <w:bCs/>
          <w:color w:val="0F6E56"/>
          <w:sz w:val="25"/>
          <w:szCs w:val="25"/>
        </w:rPr>
        <w:t xml:space="preserve">1.1  What's actually being assessed</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Assessed today</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NOT assessed today</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The complete system working live, end to end</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Any single sprint's material in isolation</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Independent explanation of design decisions</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Memorised definitions or terminology</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Graceful handling of a live, unscripted question</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perfect, rehearsed, unquestioned walkthrough</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Whether the trainee can reason about their OWN code</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Whether every possible feature was built</w:t>
            </w:r>
          </w:p>
        </w:tc>
      </w:tr>
    </w:tbl>
    <w:p>
      <w:pPr>
        <w:spacing w:after="100"/>
      </w:pPr>
      <w:r>
        <w:t xml:space="preserve"/>
      </w:r>
    </w:p>
    <w:p>
      <w:pPr>
        <w:spacing w:after="100"/>
        <w:ind w:left="200"/>
      </w:pPr>
      <w:r>
        <w:rPr>
          <w:rFonts w:ascii="Calibri" w:cs="Calibri" w:eastAsia="Calibri" w:hAnsi="Calibri"/>
          <w:color w:val="374151"/>
          <w:sz w:val="21"/>
          <w:szCs w:val="21"/>
        </w:rPr>
        <w:t xml:space="preserve">•  A reviewer asking 'why did you choose PATCH instead of PUT here?' is not testing memory — it's testing whether the trainee actually understands a decision they made, weeks ago, well enough to explain it today, live, without notes.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Today's review covers the WHOLE system together, not any single sprint in isolation.</w:t>
            </w:r>
          </w:p>
          <w:p>
            <w:pPr>
              <w:spacing w:after="60" w:before="0"/>
              <w:jc w:val="left"/>
            </w:pPr>
            <w:r>
              <w:rPr>
                <w:rFonts w:ascii="Calibri" w:cs="Calibri" w:eastAsia="Calibri" w:hAnsi="Calibri"/>
                <w:b w:val="false"/>
                <w:bCs w:val="false"/>
                <w:i w:val="false"/>
                <w:iCs w:val="false"/>
                <w:color w:val="374151"/>
                <w:sz w:val="20"/>
                <w:szCs w:val="20"/>
              </w:rPr>
              <w:t xml:space="preserve">•  The reviewer will click through the real, running application — not listen to a description of it.</w:t>
            </w:r>
          </w:p>
          <w:p>
            <w:pPr>
              <w:spacing w:after="60" w:before="0"/>
              <w:jc w:val="left"/>
            </w:pPr>
            <w:r>
              <w:rPr>
                <w:rFonts w:ascii="Calibri" w:cs="Calibri" w:eastAsia="Calibri" w:hAnsi="Calibri"/>
                <w:b w:val="false"/>
                <w:bCs w:val="false"/>
                <w:i w:val="false"/>
                <w:iCs w:val="false"/>
                <w:color w:val="374151"/>
                <w:sz w:val="20"/>
                <w:szCs w:val="20"/>
              </w:rPr>
              <w:t xml:space="preserve">•  This is the same external-review format as Days 15, 25, and 40, scaled to the full ten weeks.</w:t>
            </w:r>
          </w:p>
          <w:p>
            <w:pPr>
              <w:spacing w:after="60" w:before="0"/>
              <w:jc w:val="left"/>
            </w:pPr>
            <w:r>
              <w:rPr>
                <w:rFonts w:ascii="Calibri" w:cs="Calibri" w:eastAsia="Calibri" w:hAnsi="Calibri"/>
                <w:b w:val="false"/>
                <w:bCs w:val="false"/>
                <w:i w:val="false"/>
                <w:iCs w:val="false"/>
                <w:color w:val="374151"/>
                <w:sz w:val="20"/>
                <w:szCs w:val="20"/>
              </w:rPr>
              <w:t xml:space="preserve">•  Independent reasoning about one's own decisions matters more today than reciting terminology.</w:t>
            </w:r>
          </w:p>
        </w:tc>
      </w:tr>
    </w:tbl>
    <w:p>
      <w:pPr>
        <w:spacing w:after="0" w:before="200"/>
        <w:jc w:val="center"/>
      </w:pPr>
      <w:r>
        <w:rPr>
          <w:rFonts w:ascii="Calibri" w:cs="Calibri" w:eastAsia="Calibri" w:hAnsi="Calibri"/>
          <w:color w:val="9CA3AF"/>
          <w:sz w:val="18"/>
          <w:szCs w:val="18"/>
        </w:rPr>
        <w:t xml:space="preserve">Final Review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2:  Preparing the Live Demo — the Complete System,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Both Applications, Running, Before Anyone Walks In</w:t>
            </w:r>
          </w:p>
          <w:p>
            <w:pPr>
              <w:spacing w:after="100" w:before="0"/>
              <w:jc w:val="left"/>
            </w:pPr>
            <w:r>
              <w:rPr>
                <w:rFonts w:ascii="Calibri" w:cs="Calibri" w:eastAsia="Calibri" w:hAnsi="Calibri"/>
                <w:b w:val="false"/>
                <w:bCs w:val="false"/>
                <w:i w:val="false"/>
                <w:iCs w:val="false"/>
                <w:color w:val="374151"/>
                <w:sz w:val="21"/>
                <w:szCs w:val="21"/>
              </w:rPr>
              <w:t xml:space="preserve">Before today's review begins: both the REST API (port 5000) and the Flask Client (port 5001) must be running, confirmed with a real request to each (exactly Day 41's own habit). Have real, meaningful data already in the database — not empty tables, and not obviously fake placeholder text — so the demo shows a system that looks used, not just switched on for the first time.</w:t>
            </w:r>
          </w:p>
          <w:p>
            <w:pPr>
              <w:spacing w:after="120" w:before="0"/>
              <w:jc w:val="left"/>
            </w:pPr>
            <w:r>
              <w:rPr>
                <w:rFonts w:ascii="Calibri" w:cs="Calibri" w:eastAsia="Calibri" w:hAnsi="Calibri"/>
                <w:b w:val="false"/>
                <w:bCs w:val="false"/>
                <w:i w:val="false"/>
                <w:iCs w:val="false"/>
                <w:color w:val="374151"/>
                <w:sz w:val="21"/>
                <w:szCs w:val="21"/>
              </w:rPr>
              <w:t xml:space="preserve">This mirrors Day 41's very first exercise almost exactly: confirm both applications are alive before doing anything else, because a review that starts with 'oh wait, let me start the API' is a genuinely bad first impression that has nothing to do with the quality of the actual work.</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Start and confirm both applications before the review begins</w:t>
            </w:r>
          </w:p>
          <w:p>
            <w:pPr>
              <w:spacing w:after="40" w:before="0"/>
              <w:jc w:val="left"/>
            </w:pPr>
            <w:r>
              <w:rPr>
                <w:rFonts w:ascii="Calibri" w:cs="Calibri" w:eastAsia="Calibri" w:hAnsi="Calibri"/>
                <w:b w:val="false"/>
                <w:bCs w:val="false"/>
                <w:i w:val="false"/>
                <w:iCs w:val="false"/>
                <w:color w:val="374151"/>
                <w:sz w:val="20"/>
                <w:szCs w:val="20"/>
              </w:rPr>
              <w:t xml:space="preserve">✓  Prepare realistic, meaningful demo data in advance</w:t>
            </w:r>
          </w:p>
          <w:p>
            <w:pPr>
              <w:spacing w:after="40" w:before="0"/>
              <w:jc w:val="left"/>
            </w:pPr>
            <w:r>
              <w:rPr>
                <w:rFonts w:ascii="Calibri" w:cs="Calibri" w:eastAsia="Calibri" w:hAnsi="Calibri"/>
                <w:b w:val="false"/>
                <w:bCs w:val="false"/>
                <w:i w:val="false"/>
                <w:iCs w:val="false"/>
                <w:color w:val="374151"/>
                <w:sz w:val="20"/>
                <w:szCs w:val="20"/>
              </w:rPr>
              <w:t xml:space="preserve">✓  Avoid the most common, entirely avoidable demo-day mistakes</w:t>
            </w:r>
          </w:p>
          <w:p>
            <w:pPr>
              <w:spacing w:after="40" w:before="0"/>
              <w:jc w:val="left"/>
            </w:pPr>
            <w:r>
              <w:rPr>
                <w:rFonts w:ascii="Calibri" w:cs="Calibri" w:eastAsia="Calibri" w:hAnsi="Calibri"/>
                <w:b w:val="false"/>
                <w:bCs w:val="false"/>
                <w:i w:val="false"/>
                <w:iCs w:val="false"/>
                <w:color w:val="374151"/>
                <w:sz w:val="20"/>
                <w:szCs w:val="20"/>
              </w:rPr>
              <w:t xml:space="preserve">✓  Have a fallback plan ready if something unexpected happens live</w:t>
            </w:r>
          </w:p>
        </w:tc>
      </w:tr>
    </w:tbl>
    <w:p>
      <w:pPr>
        <w:spacing w:after="120" w:before="220"/>
      </w:pPr>
      <w:r>
        <w:rPr>
          <w:rFonts w:ascii="Calibri" w:cs="Calibri" w:eastAsia="Calibri" w:hAnsi="Calibri"/>
          <w:b/>
          <w:bCs/>
          <w:color w:val="0F6E56"/>
          <w:sz w:val="25"/>
          <w:szCs w:val="25"/>
        </w:rPr>
        <w:t xml:space="preserve">2.1  A pre-review checklist</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Check</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How</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REST API is running and responding</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curl the API directly, confirm real JSON comes back</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Flask Client is running and responding</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Visit a real page in a browser, confirm it renders</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Database has realistic, varied demo data</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At least several genuinely different records, not one repeated dummy row</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Browser DevTools are ready</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Network and Console tabs open, so live requests are visible if asked</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known-good browser window/profile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No distracting extensions, no leftover broken tabs, bookmarks ready if needed</w:t>
            </w:r>
          </w:p>
        </w:tc>
      </w:tr>
    </w:tbl>
    <w:p>
      <w:pPr>
        <w:spacing w:after="100"/>
      </w:pPr>
      <w:r>
        <w:t xml:space="preserve"/>
      </w:r>
    </w:p>
    <w:p>
      <w:pPr>
        <w:spacing w:after="100"/>
        <w:ind w:left="200"/>
      </w:pPr>
      <w:r>
        <w:rPr>
          <w:rFonts w:ascii="Calibri" w:cs="Calibri" w:eastAsia="Calibri" w:hAnsi="Calibri"/>
          <w:color w:val="374151"/>
          <w:sz w:val="21"/>
          <w:szCs w:val="21"/>
        </w:rPr>
        <w:t xml:space="preserve">•  If something genuinely breaks live — it happens, even in real professional demos — the calm, correct response is to say so plainly, explain what's likely wrong, and either fix it quickly or move on to another part of the system. Panicking or pretending it isn't happening is worse than the failure itself.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Both applications running and confirmed, BEFORE the review starts — exactly Day 41's own first habit.</w:t>
            </w:r>
          </w:p>
          <w:p>
            <w:pPr>
              <w:spacing w:after="60" w:before="0"/>
              <w:jc w:val="left"/>
            </w:pPr>
            <w:r>
              <w:rPr>
                <w:rFonts w:ascii="Calibri" w:cs="Calibri" w:eastAsia="Calibri" w:hAnsi="Calibri"/>
                <w:b w:val="false"/>
                <w:bCs w:val="false"/>
                <w:i w:val="false"/>
                <w:iCs w:val="false"/>
                <w:color w:val="374151"/>
                <w:sz w:val="20"/>
                <w:szCs w:val="20"/>
              </w:rPr>
              <w:t xml:space="preserve">•  Real, varied demo data makes the difference between a system that looks used and one that looks untested.</w:t>
            </w:r>
          </w:p>
          <w:p>
            <w:pPr>
              <w:spacing w:after="60" w:before="0"/>
              <w:jc w:val="left"/>
            </w:pPr>
            <w:r>
              <w:rPr>
                <w:rFonts w:ascii="Calibri" w:cs="Calibri" w:eastAsia="Calibri" w:hAnsi="Calibri"/>
                <w:b w:val="false"/>
                <w:bCs w:val="false"/>
                <w:i w:val="false"/>
                <w:iCs w:val="false"/>
                <w:color w:val="374151"/>
                <w:sz w:val="20"/>
                <w:szCs w:val="20"/>
              </w:rPr>
              <w:t xml:space="preserve">•  Have DevTools open and ready — a reviewer may ask to see a live request, not just its result.</w:t>
            </w:r>
          </w:p>
          <w:p>
            <w:pPr>
              <w:spacing w:after="60" w:before="0"/>
              <w:jc w:val="left"/>
            </w:pPr>
            <w:r>
              <w:rPr>
                <w:rFonts w:ascii="Calibri" w:cs="Calibri" w:eastAsia="Calibri" w:hAnsi="Calibri"/>
                <w:b w:val="false"/>
                <w:bCs w:val="false"/>
                <w:i w:val="false"/>
                <w:iCs w:val="false"/>
                <w:color w:val="374151"/>
                <w:sz w:val="20"/>
                <w:szCs w:val="20"/>
              </w:rPr>
              <w:t xml:space="preserve">•  If something breaks live, stay calm, explain what's happening, and move forward — that response is part of the assessment too.</w:t>
            </w:r>
          </w:p>
        </w:tc>
      </w:tr>
    </w:tbl>
    <w:p>
      <w:pPr>
        <w:spacing w:after="0" w:before="200"/>
        <w:jc w:val="center"/>
      </w:pPr>
      <w:r>
        <w:rPr>
          <w:rFonts w:ascii="Calibri" w:cs="Calibri" w:eastAsia="Calibri" w:hAnsi="Calibri"/>
          <w:color w:val="9CA3AF"/>
          <w:sz w:val="18"/>
          <w:szCs w:val="18"/>
        </w:rPr>
        <w:t xml:space="preserve">Final Review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3:  A Suggested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A Deliberate Order That Tells the Whole System's Story</w:t>
            </w:r>
          </w:p>
          <w:p>
            <w:pPr>
              <w:spacing w:after="100" w:before="0"/>
              <w:jc w:val="left"/>
            </w:pPr>
            <w:r>
              <w:rPr>
                <w:rFonts w:ascii="Calibri" w:cs="Calibri" w:eastAsia="Calibri" w:hAnsi="Calibri"/>
                <w:b w:val="false"/>
                <w:bCs w:val="false"/>
                <w:i w:val="false"/>
                <w:iCs w:val="false"/>
                <w:color w:val="374151"/>
                <w:sz w:val="21"/>
                <w:szCs w:val="21"/>
              </w:rPr>
              <w:t xml:space="preserve">A strong demo doesn't wander — it follows a deliberate sequence that shows breadth (every sprint represented) and depth (at least one feature explained in real detail). The suggested order below moves from structure, to data, to interaction, to resilience — ending on the project's most impressive, hardest-won moment rather than its simplest one.</w:t>
            </w:r>
          </w:p>
          <w:p>
            <w:pPr>
              <w:spacing w:after="120" w:before="0"/>
              <w:jc w:val="left"/>
            </w:pPr>
            <w:r>
              <w:rPr>
                <w:rFonts w:ascii="Calibri" w:cs="Calibri" w:eastAsia="Calibri" w:hAnsi="Calibri"/>
                <w:b w:val="false"/>
                <w:bCs w:val="false"/>
                <w:i w:val="false"/>
                <w:iCs w:val="false"/>
                <w:color w:val="374151"/>
                <w:sz w:val="21"/>
                <w:szCs w:val="21"/>
              </w:rPr>
              <w:t xml:space="preserve">This script is a STARTING POINT, not a rigid script to recite — the actual value is in being ready to go off-script the moment a reviewer asks a real question, which they will, and treating that redirection as a normal, expected part of the conversation rather than a disruption to a rehearsed performance.</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Sequence a demo to show breadth and depth deliberately</w:t>
            </w:r>
          </w:p>
          <w:p>
            <w:pPr>
              <w:spacing w:after="40" w:before="0"/>
              <w:jc w:val="left"/>
            </w:pPr>
            <w:r>
              <w:rPr>
                <w:rFonts w:ascii="Calibri" w:cs="Calibri" w:eastAsia="Calibri" w:hAnsi="Calibri"/>
                <w:b w:val="false"/>
                <w:bCs w:val="false"/>
                <w:i w:val="false"/>
                <w:iCs w:val="false"/>
                <w:color w:val="374151"/>
                <w:sz w:val="20"/>
                <w:szCs w:val="20"/>
              </w:rPr>
              <w:t xml:space="preserve">✓  Choose which single feature to explain in real depth</w:t>
            </w:r>
          </w:p>
          <w:p>
            <w:pPr>
              <w:spacing w:after="40" w:before="0"/>
              <w:jc w:val="left"/>
            </w:pPr>
            <w:r>
              <w:rPr>
                <w:rFonts w:ascii="Calibri" w:cs="Calibri" w:eastAsia="Calibri" w:hAnsi="Calibri"/>
                <w:b w:val="false"/>
                <w:bCs w:val="false"/>
                <w:i w:val="false"/>
                <w:iCs w:val="false"/>
                <w:color w:val="374151"/>
                <w:sz w:val="20"/>
                <w:szCs w:val="20"/>
              </w:rPr>
              <w:t xml:space="preserve">✓  Prepare to leave the script the moment a reviewer asks a genuine question</w:t>
            </w:r>
          </w:p>
          <w:p>
            <w:pPr>
              <w:spacing w:after="40" w:before="0"/>
              <w:jc w:val="left"/>
            </w:pPr>
            <w:r>
              <w:rPr>
                <w:rFonts w:ascii="Calibri" w:cs="Calibri" w:eastAsia="Calibri" w:hAnsi="Calibri"/>
                <w:b w:val="false"/>
                <w:bCs w:val="false"/>
                <w:i w:val="false"/>
                <w:iCs w:val="false"/>
                <w:color w:val="374151"/>
                <w:sz w:val="20"/>
                <w:szCs w:val="20"/>
              </w:rPr>
              <w:t xml:space="preserve">✓  End the demo on a genuinely strong, hard-won moment</w:t>
            </w:r>
          </w:p>
        </w:tc>
      </w:tr>
    </w:tbl>
    <w:p>
      <w:pPr>
        <w:spacing w:after="120" w:before="220"/>
      </w:pPr>
      <w:r>
        <w:rPr>
          <w:rFonts w:ascii="Calibri" w:cs="Calibri" w:eastAsia="Calibri" w:hAnsi="Calibri"/>
          <w:b/>
          <w:bCs/>
          <w:color w:val="0F6E56"/>
          <w:sz w:val="25"/>
          <w:szCs w:val="25"/>
        </w:rPr>
        <w:t xml:space="preserve">3.1  A suggested sequence</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Order</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What to show</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1. Structure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The Flask Client's real pages, Bootstrap navbar, responsive at 375px live in DevTools</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2. Data, live</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The trainee list showing REAL MySQL data, then the same data confirmed via a direct API call</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3. The full CRUD cycle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Create a real record, edit it, then delete it with the confirm modal — all working end to end</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4. A dynamic enhancement</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Live search (Day 48) — point out explicitly that this calls the API directly, bypassing the Client</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5. Resilience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Stop the REST API live; show Day 47's real maintenance page; restart it and show recovery</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6. The hardest-won moment</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Whatever took the most real effort to get working — explain WHY it was hard, not just that it works</w:t>
            </w:r>
          </w:p>
        </w:tc>
      </w:tr>
    </w:tbl>
    <w:p>
      <w:pPr>
        <w:spacing w:after="100"/>
      </w:pPr>
      <w:r>
        <w:t xml:space="preserve"/>
      </w:r>
    </w:p>
    <w:p>
      <w:pPr>
        <w:spacing w:after="100"/>
        <w:ind w:left="200"/>
      </w:pPr>
      <w:r>
        <w:rPr>
          <w:rFonts w:ascii="Calibri" w:cs="Calibri" w:eastAsia="Calibri" w:hAnsi="Calibri"/>
          <w:color w:val="374151"/>
          <w:sz w:val="21"/>
          <w:szCs w:val="21"/>
        </w:rPr>
        <w:t xml:space="preserve">•  Ending on 'resilience' and 'the hardest-won moment' rather than the simplest feature is deliberate — it demonstrates depth and genuine ownership, which is exactly what Section 1 said this review actually assesses.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A good demo sequence moves from structure, to data, to interaction, to resilience — deliberately, not randomly.</w:t>
            </w:r>
          </w:p>
          <w:p>
            <w:pPr>
              <w:spacing w:after="60" w:before="0"/>
              <w:jc w:val="left"/>
            </w:pPr>
            <w:r>
              <w:rPr>
                <w:rFonts w:ascii="Calibri" w:cs="Calibri" w:eastAsia="Calibri" w:hAnsi="Calibri"/>
                <w:b w:val="false"/>
                <w:bCs w:val="false"/>
                <w:i w:val="false"/>
                <w:iCs w:val="false"/>
                <w:color w:val="374151"/>
                <w:sz w:val="20"/>
                <w:szCs w:val="20"/>
              </w:rPr>
              <w:t xml:space="preserve">•  This script is a starting point — be ready to leave it the instant a reviewer asks a real question.</w:t>
            </w:r>
          </w:p>
          <w:p>
            <w:pPr>
              <w:spacing w:after="60" w:before="0"/>
              <w:jc w:val="left"/>
            </w:pPr>
            <w:r>
              <w:rPr>
                <w:rFonts w:ascii="Calibri" w:cs="Calibri" w:eastAsia="Calibri" w:hAnsi="Calibri"/>
                <w:b w:val="false"/>
                <w:bCs w:val="false"/>
                <w:i w:val="false"/>
                <w:iCs w:val="false"/>
                <w:color w:val="374151"/>
                <w:sz w:val="20"/>
                <w:szCs w:val="20"/>
              </w:rPr>
              <w:t xml:space="preserve">•  Choose ONE feature to explain in genuine depth, not just a fast tour of everything shallowly.</w:t>
            </w:r>
          </w:p>
          <w:p>
            <w:pPr>
              <w:spacing w:after="60" w:before="0"/>
              <w:jc w:val="left"/>
            </w:pPr>
            <w:r>
              <w:rPr>
                <w:rFonts w:ascii="Calibri" w:cs="Calibri" w:eastAsia="Calibri" w:hAnsi="Calibri"/>
                <w:b w:val="false"/>
                <w:bCs w:val="false"/>
                <w:i w:val="false"/>
                <w:iCs w:val="false"/>
                <w:color w:val="374151"/>
                <w:sz w:val="20"/>
                <w:szCs w:val="20"/>
              </w:rPr>
              <w:t xml:space="preserve">•  End on the hardest-won moment, not the simplest one — it shows depth and real ownership.</w:t>
            </w:r>
          </w:p>
        </w:tc>
      </w:tr>
    </w:tbl>
    <w:p>
      <w:pPr>
        <w:spacing w:after="0" w:before="200"/>
        <w:jc w:val="center"/>
      </w:pPr>
      <w:r>
        <w:rPr>
          <w:rFonts w:ascii="Calibri" w:cs="Calibri" w:eastAsia="Calibri" w:hAnsi="Calibri"/>
          <w:color w:val="9CA3AF"/>
          <w:sz w:val="18"/>
          <w:szCs w:val="18"/>
        </w:rPr>
        <w:t xml:space="preserve">Final Review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4:  the Viva — What Kind of Questions to Expect, Across All Four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Design 'Why' Questions, Spanning the Whole Programme</w:t>
            </w:r>
          </w:p>
          <w:p>
            <w:pPr>
              <w:spacing w:after="100" w:before="0"/>
              <w:jc w:val="left"/>
            </w:pPr>
            <w:r>
              <w:rPr>
                <w:rFonts w:ascii="Calibri" w:cs="Calibri" w:eastAsia="Calibri" w:hAnsi="Calibri"/>
                <w:b w:val="false"/>
                <w:bCs w:val="false"/>
                <w:i w:val="false"/>
                <w:iCs w:val="false"/>
                <w:color w:val="374151"/>
                <w:sz w:val="21"/>
                <w:szCs w:val="21"/>
              </w:rPr>
              <w:t xml:space="preserve">Exactly like Days 15, 25, and 40's own vivas: expect ONE genuine design 'why' question and possibly ONE small requested live change — but today's questions can reach back to ANY sprint, since the whole system is in scope. A question about Sprint 1's exception handling, Sprint 2's database design, Sprint 3's accessibility choices, or Sprint 4's architecture are all fair game, asked in the context of THIS specific, finished project.</w:t>
            </w:r>
          </w:p>
          <w:p>
            <w:pPr>
              <w:spacing w:after="120" w:before="0"/>
              <w:jc w:val="left"/>
            </w:pPr>
            <w:r>
              <w:rPr>
                <w:rFonts w:ascii="Calibri" w:cs="Calibri" w:eastAsia="Calibri" w:hAnsi="Calibri"/>
                <w:b w:val="false"/>
                <w:bCs w:val="false"/>
                <w:i w:val="false"/>
                <w:iCs w:val="false"/>
                <w:color w:val="374151"/>
                <w:sz w:val="21"/>
                <w:szCs w:val="21"/>
              </w:rPr>
              <w:t xml:space="preserve">The right preparation is not memorising answers to guessed questions — it's being able to open any file in this project and explain, in plain language, what it does and why it was built that way. That kind of readiness cannot be faked; it comes only from having genuinely understood the work while building it.</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Prepare to answer a design question from any of the four sprints</w:t>
            </w:r>
          </w:p>
          <w:p>
            <w:pPr>
              <w:spacing w:after="40" w:before="0"/>
              <w:jc w:val="left"/>
            </w:pPr>
            <w:r>
              <w:rPr>
                <w:rFonts w:ascii="Calibri" w:cs="Calibri" w:eastAsia="Calibri" w:hAnsi="Calibri"/>
                <w:b w:val="false"/>
                <w:bCs w:val="false"/>
                <w:i w:val="false"/>
                <w:iCs w:val="false"/>
                <w:color w:val="374151"/>
                <w:sz w:val="20"/>
                <w:szCs w:val="20"/>
              </w:rPr>
              <w:t xml:space="preserve">✓  Practice explaining a real design decision in plain language</w:t>
            </w:r>
          </w:p>
          <w:p>
            <w:pPr>
              <w:spacing w:after="40" w:before="0"/>
              <w:jc w:val="left"/>
            </w:pPr>
            <w:r>
              <w:rPr>
                <w:rFonts w:ascii="Calibri" w:cs="Calibri" w:eastAsia="Calibri" w:hAnsi="Calibri"/>
                <w:b w:val="false"/>
                <w:bCs w:val="false"/>
                <w:i w:val="false"/>
                <w:iCs w:val="false"/>
                <w:color w:val="374151"/>
                <w:sz w:val="20"/>
                <w:szCs w:val="20"/>
              </w:rPr>
              <w:t xml:space="preserve">✓  Distinguish a genuinely understood answer from a memorised one</w:t>
            </w:r>
          </w:p>
          <w:p>
            <w:pPr>
              <w:spacing w:after="40" w:before="0"/>
              <w:jc w:val="left"/>
            </w:pPr>
            <w:r>
              <w:rPr>
                <w:rFonts w:ascii="Calibri" w:cs="Calibri" w:eastAsia="Calibri" w:hAnsi="Calibri"/>
                <w:b w:val="false"/>
                <w:bCs w:val="false"/>
                <w:i w:val="false"/>
                <w:iCs w:val="false"/>
                <w:color w:val="374151"/>
                <w:sz w:val="20"/>
                <w:szCs w:val="20"/>
              </w:rPr>
              <w:t xml:space="preserve">✓  Respond calmly to a question with no immediately obvious answer</w:t>
            </w:r>
          </w:p>
        </w:tc>
      </w:tr>
    </w:tbl>
    <w:p>
      <w:pPr>
        <w:spacing w:after="120" w:before="220"/>
      </w:pPr>
      <w:r>
        <w:rPr>
          <w:rFonts w:ascii="Calibri" w:cs="Calibri" w:eastAsia="Calibri" w:hAnsi="Calibri"/>
          <w:b/>
          <w:bCs/>
          <w:color w:val="0F6E56"/>
          <w:sz w:val="25"/>
          <w:szCs w:val="25"/>
        </w:rPr>
        <w:t xml:space="preserve">4.1  Sample questions, spanning the whole programme</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Sprint</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A representative question</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Sprint 1 (Python)</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"Why does this function raise a custom exception instead of returning None?"</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Sprint 2 (REST API)</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"Walk me through what happens, step by step, when this DELETE request arrives."</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Sprint 3 (Web UI)</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"Why is this a button, not a link, given what it does?"</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Sprint 4 (Flask Client)</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"Why does the Flask Client have its own services/ folder instead of calling requests directly from routes?"</w:t>
            </w:r>
          </w:p>
        </w:tc>
      </w:tr>
    </w:tbl>
    <w:p>
      <w:pPr>
        <w:spacing w:after="100"/>
      </w:pPr>
      <w:r>
        <w:t xml:space="preserve"/>
      </w:r>
    </w:p>
    <w:p>
      <w:pPr>
        <w:spacing w:after="120" w:before="220"/>
      </w:pPr>
      <w:r>
        <w:rPr>
          <w:rFonts w:ascii="Calibri" w:cs="Calibri" w:eastAsia="Calibri" w:hAnsi="Calibri"/>
          <w:b/>
          <w:bCs/>
          <w:color w:val="0F6E56"/>
          <w:sz w:val="25"/>
          <w:szCs w:val="25"/>
        </w:rPr>
        <w:t xml:space="preserve">4.2  When there's no immediately obvious answer</w:t>
      </w:r>
    </w:p>
    <w:p>
      <w:pPr>
        <w:spacing w:after="100"/>
        <w:ind w:left="200"/>
      </w:pPr>
      <w:r>
        <w:rPr>
          <w:rFonts w:ascii="Calibri" w:cs="Calibri" w:eastAsia="Calibri" w:hAnsi="Calibri"/>
          <w:color w:val="374151"/>
          <w:sz w:val="21"/>
          <w:szCs w:val="21"/>
        </w:rPr>
        <w:t xml:space="preserve">•  It is genuinely fine to say 'I'm not certain, but here's my best reasoning' and think through it out loud — a reviewer evaluating REASONING PROCESS, not just final answers, often finds a well-reasoned uncertain answer more convincing than a confident wrong one delivered instantly.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Today's viva questions can reach back to ANY of the four sprints, in the context of this finished project.</w:t>
            </w:r>
          </w:p>
          <w:p>
            <w:pPr>
              <w:spacing w:after="60" w:before="0"/>
              <w:jc w:val="left"/>
            </w:pPr>
            <w:r>
              <w:rPr>
                <w:rFonts w:ascii="Calibri" w:cs="Calibri" w:eastAsia="Calibri" w:hAnsi="Calibri"/>
                <w:b w:val="false"/>
                <w:bCs w:val="false"/>
                <w:i w:val="false"/>
                <w:iCs w:val="false"/>
                <w:color w:val="374151"/>
                <w:sz w:val="20"/>
                <w:szCs w:val="20"/>
              </w:rPr>
              <w:t xml:space="preserve">•  The only real preparation is genuine understanding — being able to open any file and explain it plainly.</w:t>
            </w:r>
          </w:p>
          <w:p>
            <w:pPr>
              <w:spacing w:after="60" w:before="0"/>
              <w:jc w:val="left"/>
            </w:pPr>
            <w:r>
              <w:rPr>
                <w:rFonts w:ascii="Calibri" w:cs="Calibri" w:eastAsia="Calibri" w:hAnsi="Calibri"/>
                <w:b w:val="false"/>
                <w:bCs w:val="false"/>
                <w:i w:val="false"/>
                <w:iCs w:val="false"/>
                <w:color w:val="374151"/>
                <w:sz w:val="20"/>
                <w:szCs w:val="20"/>
              </w:rPr>
              <w:t xml:space="preserve">•  A well-reasoned uncertain answer, thought through out loud, is often stronger than a fast, wrong one.</w:t>
            </w:r>
          </w:p>
          <w:p>
            <w:pPr>
              <w:spacing w:after="60" w:before="0"/>
              <w:jc w:val="left"/>
            </w:pPr>
            <w:r>
              <w:rPr>
                <w:rFonts w:ascii="Calibri" w:cs="Calibri" w:eastAsia="Calibri" w:hAnsi="Calibri"/>
                <w:b w:val="false"/>
                <w:bCs w:val="false"/>
                <w:i w:val="false"/>
                <w:iCs w:val="false"/>
                <w:color w:val="374151"/>
                <w:sz w:val="20"/>
                <w:szCs w:val="20"/>
              </w:rPr>
              <w:t xml:space="preserve">•  This is exactly Days 15/25/40's own viva format, with the whole programme now in scope.</w:t>
            </w:r>
          </w:p>
        </w:tc>
      </w:tr>
    </w:tbl>
    <w:p>
      <w:pPr>
        <w:spacing w:after="0" w:before="200"/>
        <w:jc w:val="center"/>
      </w:pPr>
      <w:r>
        <w:rPr>
          <w:rFonts w:ascii="Calibri" w:cs="Calibri" w:eastAsia="Calibri" w:hAnsi="Calibri"/>
          <w:color w:val="9CA3AF"/>
          <w:sz w:val="18"/>
          <w:szCs w:val="18"/>
        </w:rPr>
        <w:t xml:space="preserve">Final Review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5:  the Programme Retrospective — Structure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Looking Back Across Ten Weeks, Honestly</w:t>
            </w:r>
          </w:p>
          <w:p>
            <w:pPr>
              <w:spacing w:after="100" w:before="0"/>
              <w:jc w:val="left"/>
            </w:pPr>
            <w:r>
              <w:rPr>
                <w:rFonts w:ascii="Calibri" w:cs="Calibri" w:eastAsia="Calibri" w:hAnsi="Calibri"/>
                <w:b w:val="false"/>
                <w:bCs w:val="false"/>
                <w:i w:val="false"/>
                <w:iCs w:val="false"/>
                <w:color w:val="374151"/>
                <w:sz w:val="21"/>
                <w:szCs w:val="21"/>
              </w:rPr>
              <w:t xml:space="preserve">Today's retrospective uses the same Start/Stop/Continue structure as every sprint's own closing retro (Days 15, 25, 40) — but looking back across the ENTIRE ten-week programme rather than just the most recent sprint. Start: something that would have helped from Day 1 if it had existed. Stop: a habit or approach that consistently caused friction. Continue: something that worked well enough to be worth repeating in whatever comes next.</w:t>
            </w:r>
          </w:p>
          <w:p>
            <w:pPr>
              <w:spacing w:after="120" w:before="0"/>
              <w:jc w:val="left"/>
            </w:pPr>
            <w:r>
              <w:rPr>
                <w:rFonts w:ascii="Calibri" w:cs="Calibri" w:eastAsia="Calibri" w:hAnsi="Calibri"/>
                <w:b w:val="false"/>
                <w:bCs w:val="false"/>
                <w:i w:val="false"/>
                <w:iCs w:val="false"/>
                <w:color w:val="374151"/>
                <w:sz w:val="21"/>
                <w:szCs w:val="21"/>
              </w:rPr>
              <w:t xml:space="preserve">This is not a complaints session, and it is not a celebration session either — it is a genuine, structured look back, with the explicit goal of making the NEXT cohort's experience (and each trainee's own next project) better, based on real, lived experience rather than guesswork.</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Contribute honestly to a Start/Stop/Continue retrospective</w:t>
            </w:r>
          </w:p>
          <w:p>
            <w:pPr>
              <w:spacing w:after="40" w:before="0"/>
              <w:jc w:val="left"/>
            </w:pPr>
            <w:r>
              <w:rPr>
                <w:rFonts w:ascii="Calibri" w:cs="Calibri" w:eastAsia="Calibri" w:hAnsi="Calibri"/>
                <w:b w:val="false"/>
                <w:bCs w:val="false"/>
                <w:i w:val="false"/>
                <w:iCs w:val="false"/>
                <w:color w:val="374151"/>
                <w:sz w:val="20"/>
                <w:szCs w:val="20"/>
              </w:rPr>
              <w:t xml:space="preserve">✓  Distinguish structured retrospective feedback from casual complaining</w:t>
            </w:r>
          </w:p>
          <w:p>
            <w:pPr>
              <w:spacing w:after="40" w:before="0"/>
              <w:jc w:val="left"/>
            </w:pPr>
            <w:r>
              <w:rPr>
                <w:rFonts w:ascii="Calibri" w:cs="Calibri" w:eastAsia="Calibri" w:hAnsi="Calibri"/>
                <w:b w:val="false"/>
                <w:bCs w:val="false"/>
                <w:i w:val="false"/>
                <w:iCs w:val="false"/>
                <w:color w:val="374151"/>
                <w:sz w:val="20"/>
                <w:szCs w:val="20"/>
              </w:rPr>
              <w:t xml:space="preserve">✓  Reflect across the whole programme, not just the most recent sprint</w:t>
            </w:r>
          </w:p>
          <w:p>
            <w:pPr>
              <w:spacing w:after="40" w:before="0"/>
              <w:jc w:val="left"/>
            </w:pPr>
            <w:r>
              <w:rPr>
                <w:rFonts w:ascii="Calibri" w:cs="Calibri" w:eastAsia="Calibri" w:hAnsi="Calibri"/>
                <w:b w:val="false"/>
                <w:bCs w:val="false"/>
                <w:i w:val="false"/>
                <w:iCs w:val="false"/>
                <w:color w:val="374151"/>
                <w:sz w:val="20"/>
                <w:szCs w:val="20"/>
              </w:rPr>
              <w:t xml:space="preserve">✓  Frame feedback constructively enough that it's genuinely actionable</w:t>
            </w:r>
          </w:p>
        </w:tc>
      </w:tr>
    </w:tbl>
    <w:p>
      <w:pPr>
        <w:spacing w:after="120" w:before="220"/>
      </w:pPr>
      <w:r>
        <w:rPr>
          <w:rFonts w:ascii="Calibri" w:cs="Calibri" w:eastAsia="Calibri" w:hAnsi="Calibri"/>
          <w:b/>
          <w:bCs/>
          <w:color w:val="0F6E56"/>
          <w:sz w:val="25"/>
          <w:szCs w:val="25"/>
        </w:rPr>
        <w:t xml:space="preserve">5.1  Start / Stop / Continue, for the whole programme</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Category</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The question to answer</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Start</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What would have helped, from Day 1, that wasn't there?</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Stop</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What habit or approach caused friction consistently enough to be worth changing?</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Continue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What worked well enough across all ten weeks to be worth keeping exactly as it was?</w:t>
            </w:r>
          </w:p>
        </w:tc>
      </w:tr>
    </w:tbl>
    <w:p>
      <w:pPr>
        <w:spacing w:after="100"/>
      </w:pPr>
      <w:r>
        <w:t xml:space="preserve"/>
      </w:r>
    </w:p>
    <w:p>
      <w:pPr>
        <w:spacing w:after="100"/>
        <w:ind w:left="200"/>
      </w:pPr>
      <w:r>
        <w:rPr>
          <w:rFonts w:ascii="Calibri" w:cs="Calibri" w:eastAsia="Calibri" w:hAnsi="Calibri"/>
          <w:color w:val="374151"/>
          <w:sz w:val="21"/>
          <w:szCs w:val="21"/>
        </w:rPr>
        <w:t xml:space="preserve">•  Specific, concrete feedback ('the Day 19-22 SQL block moved faster than the practice time available') is far more useful than vague feedback ('SQL was hard') — the goal is something genuinely actionable, not just an expression of a feeling.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Same Start/Stop/Continue structure as every sprint's own retro, now covering the full ten weeks.</w:t>
            </w:r>
          </w:p>
          <w:p>
            <w:pPr>
              <w:spacing w:after="60" w:before="0"/>
              <w:jc w:val="left"/>
            </w:pPr>
            <w:r>
              <w:rPr>
                <w:rFonts w:ascii="Calibri" w:cs="Calibri" w:eastAsia="Calibri" w:hAnsi="Calibri"/>
                <w:b w:val="false"/>
                <w:bCs w:val="false"/>
                <w:i w:val="false"/>
                <w:iCs w:val="false"/>
                <w:color w:val="374151"/>
                <w:sz w:val="20"/>
                <w:szCs w:val="20"/>
              </w:rPr>
              <w:t xml:space="preserve">•  This is a structured, constructive look back — not a complaints session, not a celebration session.</w:t>
            </w:r>
          </w:p>
          <w:p>
            <w:pPr>
              <w:spacing w:after="60" w:before="0"/>
              <w:jc w:val="left"/>
            </w:pPr>
            <w:r>
              <w:rPr>
                <w:rFonts w:ascii="Calibri" w:cs="Calibri" w:eastAsia="Calibri" w:hAnsi="Calibri"/>
                <w:b w:val="false"/>
                <w:bCs w:val="false"/>
                <w:i w:val="false"/>
                <w:iCs w:val="false"/>
                <w:color w:val="374151"/>
                <w:sz w:val="20"/>
                <w:szCs w:val="20"/>
              </w:rPr>
              <w:t xml:space="preserve">•  Specific, concrete feedback is genuinely more useful than vague feedback, for whoever reads it next.</w:t>
            </w:r>
          </w:p>
          <w:p>
            <w:pPr>
              <w:spacing w:after="60" w:before="0"/>
              <w:jc w:val="left"/>
            </w:pPr>
            <w:r>
              <w:rPr>
                <w:rFonts w:ascii="Calibri" w:cs="Calibri" w:eastAsia="Calibri" w:hAnsi="Calibri"/>
                <w:b w:val="false"/>
                <w:bCs w:val="false"/>
                <w:i w:val="false"/>
                <w:iCs w:val="false"/>
                <w:color w:val="374151"/>
                <w:sz w:val="20"/>
                <w:szCs w:val="20"/>
              </w:rPr>
              <w:t xml:space="preserve">•  The explicit goal: make the next cohort's experience, and each trainee's own next project, better.</w:t>
            </w:r>
          </w:p>
        </w:tc>
      </w:tr>
    </w:tbl>
    <w:p>
      <w:pPr>
        <w:spacing w:after="0" w:before="200"/>
        <w:jc w:val="center"/>
      </w:pPr>
      <w:r>
        <w:rPr>
          <w:rFonts w:ascii="Calibri" w:cs="Calibri" w:eastAsia="Calibri" w:hAnsi="Calibri"/>
          <w:color w:val="9CA3AF"/>
          <w:sz w:val="18"/>
          <w:szCs w:val="18"/>
        </w:rPr>
        <w:t xml:space="preserve">Final Review  ·  UST Internal  ·  Not for Distribution</w:t>
      </w:r>
    </w:p>
    <w:p>
      <w:r>
        <w:br w:type="page"/>
      </w:r>
    </w:p>
    <w:p>
      <w:pPr>
        <w:pBdr>
          <w:bottom w:val="single" w:color="1B3A6B" w:sz="8" w:space="4"/>
        </w:pBdr>
        <w:spacing w:after="160" w:before="300"/>
      </w:pPr>
      <w:r>
        <w:rPr>
          <w:rFonts w:ascii="Calibri" w:cs="Calibri" w:eastAsia="Calibri" w:hAnsi="Calibri"/>
          <w:b/>
          <w:bCs/>
          <w:color w:val="1B3A6B"/>
          <w:sz w:val="32"/>
          <w:szCs w:val="32"/>
        </w:rPr>
        <w:t xml:space="preserve">Section 6:  Campus Handover — What It Is and What's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1B3A6B"/>
                <w:sz w:val="23"/>
                <w:szCs w:val="23"/>
              </w:rPr>
              <w:t xml:space="preserve">The Formal Close of This Onboarding, and the Transition Onward</w:t>
            </w:r>
          </w:p>
          <w:p>
            <w:pPr>
              <w:spacing w:after="100" w:before="0"/>
              <w:jc w:val="left"/>
            </w:pPr>
            <w:r>
              <w:rPr>
                <w:rFonts w:ascii="Calibri" w:cs="Calibri" w:eastAsia="Calibri" w:hAnsi="Calibri"/>
                <w:b w:val="false"/>
                <w:bCs w:val="false"/>
                <w:i w:val="false"/>
                <w:iCs w:val="false"/>
                <w:color w:val="374151"/>
                <w:sz w:val="21"/>
                <w:szCs w:val="21"/>
              </w:rPr>
              <w:t xml:space="preserve">Campus handover is the formal transfer of this cohort from the pre-onboarding programme to whatever comes next — a specific project team, a broader onboarding track, or direct client-facing work, depending on each trainee's placement. It typically involves a final project artifact (the complete, working two-application system built across Sprints 2-4) being documented and handed off in a state a NEW person could pick up and understand.</w:t>
            </w:r>
          </w:p>
          <w:p>
            <w:pPr>
              <w:spacing w:after="120" w:before="0"/>
              <w:jc w:val="left"/>
            </w:pPr>
            <w:r>
              <w:rPr>
                <w:rFonts w:ascii="Calibri" w:cs="Calibri" w:eastAsia="Calibri" w:hAnsi="Calibri"/>
                <w:b w:val="false"/>
                <w:bCs w:val="false"/>
                <w:i w:val="false"/>
                <w:iCs w:val="false"/>
                <w:color w:val="374151"/>
                <w:sz w:val="21"/>
                <w:szCs w:val="21"/>
              </w:rPr>
              <w:t xml:space="preserve">This is the same discipline Day 13's package structure and Day 44's services layer both taught in miniature — code that is genuinely usable by someone who didn't write it, with enough documentation and clarity that 'handover' doesn't mean 'starting over.'</w:t>
            </w:r>
          </w:p>
          <w:p>
            <w:pPr>
              <w:spacing w:after="60" w:before="0"/>
              <w:jc w:val="left"/>
            </w:pPr>
            <w:r>
              <w:rPr>
                <w:rFonts w:ascii="Calibri" w:cs="Calibri" w:eastAsia="Calibri" w:hAnsi="Calibri"/>
                <w:b/>
                <w:bCs/>
                <w:i w:val="false"/>
                <w:iCs w:val="false"/>
                <w:color w:val="0F6E56"/>
                <w:sz w:val="20"/>
                <w:szCs w:val="20"/>
              </w:rPr>
              <w:t xml:space="preserve">By the end of this section you can:</w:t>
            </w:r>
          </w:p>
          <w:p>
            <w:pPr>
              <w:spacing w:after="40" w:before="0"/>
              <w:jc w:val="left"/>
            </w:pPr>
            <w:r>
              <w:rPr>
                <w:rFonts w:ascii="Calibri" w:cs="Calibri" w:eastAsia="Calibri" w:hAnsi="Calibri"/>
                <w:b w:val="false"/>
                <w:bCs w:val="false"/>
                <w:i w:val="false"/>
                <w:iCs w:val="false"/>
                <w:color w:val="374151"/>
                <w:sz w:val="20"/>
                <w:szCs w:val="20"/>
              </w:rPr>
              <w:t xml:space="preserve">✓  Explain what campus handover formally represents</w:t>
            </w:r>
          </w:p>
          <w:p>
            <w:pPr>
              <w:spacing w:after="40" w:before="0"/>
              <w:jc w:val="left"/>
            </w:pPr>
            <w:r>
              <w:rPr>
                <w:rFonts w:ascii="Calibri" w:cs="Calibri" w:eastAsia="Calibri" w:hAnsi="Calibri"/>
                <w:b w:val="false"/>
                <w:bCs w:val="false"/>
                <w:i w:val="false"/>
                <w:iCs w:val="false"/>
                <w:color w:val="374151"/>
                <w:sz w:val="20"/>
                <w:szCs w:val="20"/>
              </w:rPr>
              <w:t xml:space="preserve">✓  Prepare a project in a genuinely handover-ready state</w:t>
            </w:r>
          </w:p>
          <w:p>
            <w:pPr>
              <w:spacing w:after="40" w:before="0"/>
              <w:jc w:val="left"/>
            </w:pPr>
            <w:r>
              <w:rPr>
                <w:rFonts w:ascii="Calibri" w:cs="Calibri" w:eastAsia="Calibri" w:hAnsi="Calibri"/>
                <w:b w:val="false"/>
                <w:bCs w:val="false"/>
                <w:i w:val="false"/>
                <w:iCs w:val="false"/>
                <w:color w:val="374151"/>
                <w:sz w:val="20"/>
                <w:szCs w:val="20"/>
              </w:rPr>
              <w:t xml:space="preserve">✓  Ensure documentation would make sense to someone new</w:t>
            </w:r>
          </w:p>
          <w:p>
            <w:pPr>
              <w:spacing w:after="40" w:before="0"/>
              <w:jc w:val="left"/>
            </w:pPr>
            <w:r>
              <w:rPr>
                <w:rFonts w:ascii="Calibri" w:cs="Calibri" w:eastAsia="Calibri" w:hAnsi="Calibri"/>
                <w:b w:val="false"/>
                <w:bCs w:val="false"/>
                <w:i w:val="false"/>
                <w:iCs w:val="false"/>
                <w:color w:val="374151"/>
                <w:sz w:val="20"/>
                <w:szCs w:val="20"/>
              </w:rPr>
              <w:t xml:space="preserve">✓  Understand what comes next after today for this cohort</w:t>
            </w:r>
          </w:p>
        </w:tc>
      </w:tr>
    </w:tbl>
    <w:p>
      <w:pPr>
        <w:spacing w:after="120" w:before="220"/>
      </w:pPr>
      <w:r>
        <w:rPr>
          <w:rFonts w:ascii="Calibri" w:cs="Calibri" w:eastAsia="Calibri" w:hAnsi="Calibri"/>
          <w:b/>
          <w:bCs/>
          <w:color w:val="0F6E56"/>
          <w:sz w:val="25"/>
          <w:szCs w:val="25"/>
        </w:rPr>
        <w:t xml:space="preserve">6.1  What 'handover-ready' actually means</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Handover-ready</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NOT handover-ready</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README explaining how to run BOTH applications from scratch</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Instructions that only make sense if you already know the project</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.env.example files with every required variable named</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Real secrets committed, or required variables undocumented</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Code organised the way Days 13/17/44 taught — one responsibility per file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Working code that only the original author could navigate</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brief note on what's finished vs. what's a known limitation</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Silence about gaps, leaving a new person to discover them the hard way</w:t>
            </w:r>
          </w:p>
        </w:tc>
      </w:tr>
    </w:tbl>
    <w:p>
      <w:pPr>
        <w:spacing w:after="100"/>
      </w:pPr>
      <w:r>
        <w:t xml:space="preserve"/>
      </w:r>
    </w:p>
    <w:p>
      <w:pPr>
        <w:spacing w:after="100"/>
        <w:ind w:left="200"/>
      </w:pPr>
      <w:r>
        <w:rPr>
          <w:rFonts w:ascii="Calibri" w:cs="Calibri" w:eastAsia="Calibri" w:hAnsi="Calibri"/>
          <w:color w:val="374151"/>
          <w:sz w:val="21"/>
          <w:szCs w:val="21"/>
        </w:rPr>
        <w:t xml:space="preserve">•  A genuinely honest 'known limitations' note is a sign of real engineering maturity, not a confession of failure — every real project has some; naming them clearly is far more professional than pretending they don't exist.</w:t>
      </w:r>
    </w:p>
    <w:p>
      <w:pPr>
        <w:spacing w:after="120" w:before="220"/>
      </w:pPr>
      <w:r>
        <w:rPr>
          <w:rFonts w:ascii="Calibri" w:cs="Calibri" w:eastAsia="Calibri" w:hAnsi="Calibri"/>
          <w:b/>
          <w:bCs/>
          <w:color w:val="0F6E56"/>
          <w:sz w:val="25"/>
          <w:szCs w:val="25"/>
        </w:rPr>
        <w:t xml:space="preserve">6.2  What comes after today</w:t>
      </w:r>
    </w:p>
    <w:p>
      <w:pPr>
        <w:spacing w:after="100"/>
        <w:ind w:left="200"/>
      </w:pPr>
      <w:r>
        <w:rPr>
          <w:rFonts w:ascii="Calibri" w:cs="Calibri" w:eastAsia="Calibri" w:hAnsi="Calibri"/>
          <w:color w:val="374151"/>
          <w:sz w:val="21"/>
          <w:szCs w:val="21"/>
        </w:rPr>
        <w:t xml:space="preserve">•  This is the last day of the pre-onboarding programme itself — what follows depends on each trainee's specific placement, but the skills demonstrated today (Python, SQL, a REST API, a full web front end, and a server-rendered client, all built and integrated independently over ten weeks) are the actual, real foundation for whatever comes next, not a credential separate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2580A" w:sz="24"/>
              <w:bottom w:val="single" w:color="D1D5DB" w:sz="2"/>
              <w:right w:val="single" w:color="D1D5DB" w:sz="2"/>
            </w:tcBorders>
            <w:shd w:fill="FFF8E7"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92580A"/>
                <w:sz w:val="21"/>
                <w:szCs w:val="21"/>
              </w:rPr>
              <w:t xml:space="preserve">🎓  Ten weeks, complete</w:t>
            </w:r>
          </w:p>
          <w:p>
            <w:pPr>
              <w:spacing w:after="0" w:before="0"/>
              <w:jc w:val="left"/>
            </w:pPr>
            <w:r>
              <w:rPr>
                <w:rFonts w:ascii="Calibri" w:cs="Calibri" w:eastAsia="Calibri" w:hAnsi="Calibri"/>
                <w:b w:val="false"/>
                <w:bCs w:val="false"/>
                <w:i w:val="false"/>
                <w:iCs w:val="false"/>
                <w:color w:val="374151"/>
                <w:sz w:val="20"/>
                <w:szCs w:val="20"/>
              </w:rPr>
              <w:t xml:space="preserve">From Day 1's first Python script through today's live demo of a complete, two-application system — every day in this programme built on the one before it, deliberately. Congratulations on completing UST ELEVATE's Python Full-Stack Pre-Onboarding Programme.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100" w:before="0"/>
              <w:jc w:val="left"/>
            </w:pPr>
            <w:r>
              <w:rPr>
                <w:rFonts w:ascii="Calibri" w:cs="Calibri" w:eastAsia="Calibri" w:hAnsi="Calibri"/>
                <w:b/>
                <w:bCs/>
                <w:i w:val="false"/>
                <w:iCs w:val="false"/>
                <w:color w:val="0F6E56"/>
                <w:sz w:val="21"/>
                <w:szCs w:val="21"/>
              </w:rPr>
              <w:t xml:space="preserve">📌  Section Summary</w:t>
            </w:r>
          </w:p>
          <w:p>
            <w:pPr>
              <w:spacing w:after="60" w:before="0"/>
              <w:jc w:val="left"/>
            </w:pPr>
            <w:r>
              <w:rPr>
                <w:rFonts w:ascii="Calibri" w:cs="Calibri" w:eastAsia="Calibri" w:hAnsi="Calibri"/>
                <w:b w:val="false"/>
                <w:bCs w:val="false"/>
                <w:i w:val="false"/>
                <w:iCs w:val="false"/>
                <w:color w:val="374151"/>
                <w:sz w:val="20"/>
                <w:szCs w:val="20"/>
              </w:rPr>
              <w:t xml:space="preserve">•  Campus handover formally closes this onboarding and transitions the cohort to what comes next.</w:t>
            </w:r>
          </w:p>
          <w:p>
            <w:pPr>
              <w:spacing w:after="60" w:before="0"/>
              <w:jc w:val="left"/>
            </w:pPr>
            <w:r>
              <w:rPr>
                <w:rFonts w:ascii="Calibri" w:cs="Calibri" w:eastAsia="Calibri" w:hAnsi="Calibri"/>
                <w:b w:val="false"/>
                <w:bCs w:val="false"/>
                <w:i w:val="false"/>
                <w:iCs w:val="false"/>
                <w:color w:val="374151"/>
                <w:sz w:val="20"/>
                <w:szCs w:val="20"/>
              </w:rPr>
              <w:t xml:space="preserve">•  Handover-ready means a genuinely new person could run, understand, and continue this project.</w:t>
            </w:r>
          </w:p>
          <w:p>
            <w:pPr>
              <w:spacing w:after="60" w:before="0"/>
              <w:jc w:val="left"/>
            </w:pPr>
            <w:r>
              <w:rPr>
                <w:rFonts w:ascii="Calibri" w:cs="Calibri" w:eastAsia="Calibri" w:hAnsi="Calibri"/>
                <w:b w:val="false"/>
                <w:bCs w:val="false"/>
                <w:i w:val="false"/>
                <w:iCs w:val="false"/>
                <w:color w:val="374151"/>
                <w:sz w:val="20"/>
                <w:szCs w:val="20"/>
              </w:rPr>
              <w:t xml:space="preserve">•  Honestly documenting known limitations is a sign of maturity, not a weakness to hide.</w:t>
            </w:r>
          </w:p>
          <w:p>
            <w:pPr>
              <w:spacing w:after="60" w:before="0"/>
              <w:jc w:val="left"/>
            </w:pPr>
            <w:r>
              <w:rPr>
                <w:rFonts w:ascii="Calibri" w:cs="Calibri" w:eastAsia="Calibri" w:hAnsi="Calibri"/>
                <w:b w:val="false"/>
                <w:bCs w:val="false"/>
                <w:i w:val="false"/>
                <w:iCs w:val="false"/>
                <w:color w:val="374151"/>
                <w:sz w:val="20"/>
                <w:szCs w:val="20"/>
              </w:rPr>
              <w:t xml:space="preserve">•  The skills demonstrated today are the real foundation for what follows — not separate from it.</w:t>
            </w:r>
          </w:p>
        </w:tc>
      </w:tr>
    </w:tbl>
    <w:p>
      <w:pPr>
        <w:spacing w:after="0" w:before="200"/>
        <w:jc w:val="center"/>
      </w:pPr>
      <w:r>
        <w:rPr>
          <w:rFonts w:ascii="Calibri" w:cs="Calibri" w:eastAsia="Calibri" w:hAnsi="Calibri"/>
          <w:color w:val="9CA3AF"/>
          <w:sz w:val="18"/>
          <w:szCs w:val="18"/>
        </w:rPr>
        <w:t xml:space="preserve">Day 50 Study Notes  ·  Final Review  ·  UST Internal  ·  Not for Distribution</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4"/>
        <w:szCs w:val="14"/>
      </w:rPr>
      <w:t xml:space="preserve">Final Review  ·  UST Internal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9CA3AF"/>
        <w:sz w:val="14"/>
        <w:szCs w:val="14"/>
      </w:rPr>
      <w:t xml:space="preserve">UST ELEVATE  ·  Pre-Onboarding Python Full-Stack  ·  Day 50: Final External Review, Programme Retrospective &amp; Campus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2026-09-14T01:10:32.016Z</dcterms:created>
  <dcterms:modified xsi:type="dcterms:W3CDTF">2026-09-14T01:10:32.024Z</dcterms:modified>
</cp:coreProperties>
</file>

<file path=docProps/custom.xml><?xml version="1.0" encoding="utf-8"?>
<Properties xmlns="http://schemas.openxmlformats.org/officeDocument/2006/custom-properties" xmlns:vt="http://schemas.openxmlformats.org/officeDocument/2006/docPropsVTypes"/>
</file>