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Student Portal Mobile App</w:t>
        <w:br/>
        <w:t>Task Flow Diagrams &amp; Documentation Consistency Review</w:t>
      </w:r>
    </w:p>
    <w:p>
      <w:r>
        <w:rPr>
          <w:b/>
        </w:rPr>
        <w:t xml:space="preserve">Source basis: </w:t>
      </w:r>
      <w:r>
        <w:t>The provided User Personas and User Journey document, covering Brian Kamau, Mary Wanjiku, course registration, fee statements, and HCI/user-centered design connections.</w:t>
      </w:r>
    </w:p>
    <w:p>
      <w:pPr>
        <w:pStyle w:val="Heading1"/>
      </w:pPr>
      <w:r>
        <w:t>1. Task Flow Diagram – Brian: Course Registration</w:t>
      </w:r>
    </w:p>
    <w:p>
      <w:r>
        <w:t>Goal: Register for courses for the new semester.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Open Student Portal</w:t>
            </w:r>
          </w:p>
        </w:tc>
      </w:tr>
      <w:tr>
        <w:tc>
          <w:tcPr>
            <w:tcW w:type="dxa" w:w="4320"/>
            <w:vAlign w:val="center"/>
          </w:tcPr>
          <w:p>
            <w:r>
              <w:t>1</w:t>
            </w:r>
          </w:p>
        </w:tc>
        <w:tc>
          <w:tcPr>
            <w:tcW w:type="dxa" w:w="4320"/>
            <w:vAlign w:val="center"/>
          </w:tcPr>
          <w:p>
            <w:r>
              <w:t>Login</w:t>
              <w:br/>
              <w:t>Enter username and password</w:t>
            </w:r>
          </w:p>
        </w:tc>
      </w:tr>
      <w:tr>
        <w:tc>
          <w:tcPr>
            <w:tcW w:type="dxa" w:w="4320"/>
            <w:vAlign w:val="center"/>
          </w:tcPr>
          <w:p>
            <w:r>
              <w:t>2</w:t>
            </w:r>
          </w:p>
        </w:tc>
        <w:tc>
          <w:tcPr>
            <w:tcW w:type="dxa" w:w="4320"/>
            <w:vAlign w:val="center"/>
          </w:tcPr>
          <w:p>
            <w:r>
              <w:t>Dashboard</w:t>
            </w:r>
          </w:p>
        </w:tc>
      </w:tr>
      <w:tr>
        <w:tc>
          <w:tcPr>
            <w:tcW w:type="dxa" w:w="4320"/>
            <w:vAlign w:val="center"/>
          </w:tcPr>
          <w:p>
            <w:r>
              <w:t>3</w:t>
            </w:r>
          </w:p>
        </w:tc>
        <w:tc>
          <w:tcPr>
            <w:tcW w:type="dxa" w:w="4320"/>
            <w:vAlign w:val="center"/>
          </w:tcPr>
          <w:p>
            <w:r>
              <w:t>Select Course Registration</w:t>
            </w:r>
          </w:p>
        </w:tc>
      </w:tr>
      <w:tr>
        <w:tc>
          <w:tcPr>
            <w:tcW w:type="dxa" w:w="4320"/>
            <w:vAlign w:val="center"/>
          </w:tcPr>
          <w:p>
            <w:r>
              <w:t>4</w:t>
            </w:r>
          </w:p>
        </w:tc>
        <w:tc>
          <w:tcPr>
            <w:tcW w:type="dxa" w:w="4320"/>
            <w:vAlign w:val="center"/>
          </w:tcPr>
          <w:p>
            <w:r>
              <w:t>View Available Courses</w:t>
            </w:r>
          </w:p>
        </w:tc>
      </w:tr>
      <w:tr>
        <w:tc>
          <w:tcPr>
            <w:tcW w:type="dxa" w:w="4320"/>
            <w:vAlign w:val="center"/>
          </w:tcPr>
          <w:p>
            <w:r>
              <w:t>5</w:t>
            </w:r>
          </w:p>
        </w:tc>
        <w:tc>
          <w:tcPr>
            <w:tcW w:type="dxa" w:w="4320"/>
            <w:vAlign w:val="center"/>
          </w:tcPr>
          <w:p>
            <w:r>
              <w:t>Select Required Courses</w:t>
            </w:r>
          </w:p>
        </w:tc>
      </w:tr>
      <w:tr>
        <w:tc>
          <w:tcPr>
            <w:tcW w:type="dxa" w:w="4320"/>
            <w:vAlign w:val="center"/>
          </w:tcPr>
          <w:p>
            <w:r>
              <w:t>6</w:t>
            </w:r>
          </w:p>
        </w:tc>
        <w:tc>
          <w:tcPr>
            <w:tcW w:type="dxa" w:w="4320"/>
            <w:vAlign w:val="center"/>
          </w:tcPr>
          <w:p>
            <w:r>
              <w:t>Review Selected Courses</w:t>
            </w:r>
          </w:p>
        </w:tc>
      </w:tr>
      <w:tr>
        <w:tc>
          <w:tcPr>
            <w:tcW w:type="dxa" w:w="4320"/>
            <w:vAlign w:val="center"/>
          </w:tcPr>
          <w:p>
            <w:r>
              <w:t>7</w:t>
            </w:r>
          </w:p>
        </w:tc>
        <w:tc>
          <w:tcPr>
            <w:tcW w:type="dxa" w:w="4320"/>
            <w:vAlign w:val="center"/>
          </w:tcPr>
          <w:p>
            <w:r>
              <w:t>Confirm / Register</w:t>
            </w:r>
          </w:p>
        </w:tc>
      </w:tr>
      <w:tr>
        <w:tc>
          <w:tcPr>
            <w:tcW w:type="dxa" w:w="4320"/>
            <w:vAlign w:val="center"/>
          </w:tcPr>
          <w:p>
            <w:r>
              <w:t>8</w:t>
            </w:r>
          </w:p>
        </w:tc>
        <w:tc>
          <w:tcPr>
            <w:tcW w:type="dxa" w:w="4320"/>
            <w:vAlign w:val="center"/>
          </w:tcPr>
          <w:p>
            <w:r>
              <w:t>Registration Successful</w:t>
              <w:br/>
              <w:t>Display confirmation message</w:t>
            </w:r>
          </w:p>
        </w:tc>
      </w:tr>
      <w:tr>
        <w:tc>
          <w:tcPr>
            <w:tcW w:type="dxa" w:w="4320"/>
            <w:vAlign w:val="center"/>
          </w:tcPr>
          <w:p>
            <w:r>
              <w:t>9</w:t>
            </w:r>
          </w:p>
        </w:tc>
        <w:tc>
          <w:tcPr>
            <w:tcW w:type="dxa" w:w="4320"/>
            <w:vAlign w:val="center"/>
          </w:tcPr>
          <w:p>
            <w:r>
              <w:t>View Registered Courses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END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Registration confirmed</w:t>
            </w:r>
          </w:p>
        </w:tc>
      </w:tr>
    </w:tbl>
    <w:p>
      <w:r>
        <w:t>Flow: START → Open Student Portal → Login → Dashboard → Course Registration → View Available Courses → Select Required Courses → Review → Confirm/Register → Registration Successful → View Registered Courses → END</w:t>
      </w:r>
    </w:p>
    <w:p>
      <w:pPr>
        <w:pStyle w:val="Heading1"/>
      </w:pPr>
      <w:r>
        <w:t>2. Task Flow Diagram – Mary: Checking Fee Statement</w:t>
      </w:r>
    </w:p>
    <w:p>
      <w:r>
        <w:t>Goal: Check the current fee balance without visiting the finance office.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Open Student Portal</w:t>
            </w:r>
          </w:p>
        </w:tc>
      </w:tr>
      <w:tr>
        <w:tc>
          <w:tcPr>
            <w:tcW w:type="dxa" w:w="4320"/>
            <w:vAlign w:val="center"/>
          </w:tcPr>
          <w:p>
            <w:r>
              <w:t>1</w:t>
            </w:r>
          </w:p>
        </w:tc>
        <w:tc>
          <w:tcPr>
            <w:tcW w:type="dxa" w:w="4320"/>
            <w:vAlign w:val="center"/>
          </w:tcPr>
          <w:p>
            <w:r>
              <w:t>Login</w:t>
              <w:br/>
              <w:t>Enter login details</w:t>
            </w:r>
          </w:p>
        </w:tc>
      </w:tr>
      <w:tr>
        <w:tc>
          <w:tcPr>
            <w:tcW w:type="dxa" w:w="4320"/>
            <w:vAlign w:val="center"/>
          </w:tcPr>
          <w:p>
            <w:r>
              <w:t>2</w:t>
            </w:r>
          </w:p>
        </w:tc>
        <w:tc>
          <w:tcPr>
            <w:tcW w:type="dxa" w:w="4320"/>
            <w:vAlign w:val="center"/>
          </w:tcPr>
          <w:p>
            <w:r>
              <w:t>Dashboard</w:t>
            </w:r>
          </w:p>
        </w:tc>
      </w:tr>
      <w:tr>
        <w:tc>
          <w:tcPr>
            <w:tcW w:type="dxa" w:w="4320"/>
            <w:vAlign w:val="center"/>
          </w:tcPr>
          <w:p>
            <w:r>
              <w:t>3</w:t>
            </w:r>
          </w:p>
        </w:tc>
        <w:tc>
          <w:tcPr>
            <w:tcW w:type="dxa" w:w="4320"/>
            <w:vAlign w:val="center"/>
          </w:tcPr>
          <w:p>
            <w:r>
              <w:t>Select Fee Statement</w:t>
            </w:r>
          </w:p>
        </w:tc>
      </w:tr>
      <w:tr>
        <w:tc>
          <w:tcPr>
            <w:tcW w:type="dxa" w:w="4320"/>
            <w:vAlign w:val="center"/>
          </w:tcPr>
          <w:p>
            <w:r>
              <w:t>4</w:t>
            </w:r>
          </w:p>
        </w:tc>
        <w:tc>
          <w:tcPr>
            <w:tcW w:type="dxa" w:w="4320"/>
            <w:vAlign w:val="center"/>
          </w:tcPr>
          <w:p>
            <w:r>
              <w:t>View Current Fee Statement</w:t>
            </w:r>
          </w:p>
        </w:tc>
      </w:tr>
      <w:tr>
        <w:tc>
          <w:tcPr>
            <w:tcW w:type="dxa" w:w="4320"/>
            <w:vAlign w:val="center"/>
          </w:tcPr>
          <w:p>
            <w:r>
              <w:t>5</w:t>
            </w:r>
          </w:p>
        </w:tc>
        <w:tc>
          <w:tcPr>
            <w:tcW w:type="dxa" w:w="4320"/>
            <w:vAlign w:val="center"/>
          </w:tcPr>
          <w:p>
            <w:r>
              <w:t>Review Fees Paid &amp; Outstanding Balance</w:t>
            </w:r>
          </w:p>
        </w:tc>
      </w:tr>
      <w:tr>
        <w:tc>
          <w:tcPr>
            <w:tcW w:type="dxa" w:w="4320"/>
            <w:vAlign w:val="center"/>
          </w:tcPr>
          <w:p>
            <w:r>
              <w:t>6</w:t>
            </w:r>
          </w:p>
        </w:tc>
        <w:tc>
          <w:tcPr>
            <w:tcW w:type="dxa" w:w="4320"/>
            <w:vAlign w:val="center"/>
          </w:tcPr>
          <w:p>
            <w:r>
              <w:t>Save / Download Statement</w:t>
            </w:r>
          </w:p>
        </w:tc>
      </w:tr>
      <w:tr>
        <w:tc>
          <w:tcPr>
            <w:tcW w:type="dxa" w:w="4320"/>
            <w:vAlign w:val="center"/>
          </w:tcPr>
          <w:p>
            <w:r>
              <w:t>7</w:t>
            </w:r>
          </w:p>
        </w:tc>
        <w:tc>
          <w:tcPr>
            <w:tcW w:type="dxa" w:w="4320"/>
            <w:vAlign w:val="center"/>
          </w:tcPr>
          <w:p>
            <w:r>
              <w:t>Receive Relevant Fee Notification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END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Stay Informed</w:t>
            </w:r>
          </w:p>
        </w:tc>
      </w:tr>
    </w:tbl>
    <w:p>
      <w:r>
        <w:t>Flow: START → Open Student Portal → Login → Dashboard → Fee Statement → View Balance → Review Statement → Download → Stay Informed → END</w:t>
      </w:r>
    </w:p>
    <w:p>
      <w:pPr>
        <w:pStyle w:val="Heading1"/>
      </w:pPr>
      <w:r>
        <w:t>3. Documentation Consistency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 Reviewed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Review / Action</w:t>
            </w:r>
          </w:p>
        </w:tc>
      </w:tr>
      <w:tr>
        <w:tc>
          <w:tcPr>
            <w:tcW w:type="dxa" w:w="2880"/>
          </w:tcPr>
          <w:p>
            <w:r>
              <w:t>Personas ↔ Goals</w:t>
            </w:r>
          </w:p>
        </w:tc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Brian's persona emphasizes course registration, results, fees, and announcements; his journey focuses on course registration. Mary's persona emphasizes fees, results, remote access, and updates; her journey focuses on checking fees.</w:t>
            </w:r>
          </w:p>
        </w:tc>
      </w:tr>
      <w:tr>
        <w:tc>
          <w:tcPr>
            <w:tcW w:type="dxa" w:w="2880"/>
          </w:tcPr>
          <w:p>
            <w:r>
              <w:t>Persona ↔ User Needs</w:t>
            </w:r>
          </w:p>
        </w:tc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The documented needs for both students support the mobile self-service portal concept.</w:t>
            </w:r>
          </w:p>
        </w:tc>
      </w:tr>
      <w:tr>
        <w:tc>
          <w:tcPr>
            <w:tcW w:type="dxa" w:w="2880"/>
          </w:tcPr>
          <w:p>
            <w:r>
              <w:t>Persona ↔ Pain Points</w:t>
            </w:r>
          </w:p>
        </w:tc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The journeys address the documented pain points: difficulty accessing services, uncertainty about registration, office visits, and delayed information.</w:t>
            </w:r>
          </w:p>
        </w:tc>
      </w:tr>
      <w:tr>
        <w:tc>
          <w:tcPr>
            <w:tcW w:type="dxa" w:w="2880"/>
          </w:tcPr>
          <w:p>
            <w:r>
              <w:t>Journey ↔ Task Flow</w:t>
            </w:r>
          </w:p>
        </w:tc>
        <w:tc>
          <w:tcPr>
            <w:tcW w:type="dxa" w:w="2880"/>
          </w:tcPr>
          <w:p>
            <w:r>
              <w:t>Consistent after normalization</w:t>
            </w:r>
          </w:p>
        </w:tc>
        <w:tc>
          <w:tcPr>
            <w:tcW w:type="dxa" w:w="2880"/>
          </w:tcPr>
          <w:p>
            <w:r>
              <w:t>The task flows preserve the stages and goals in the source journey tables while presenting them as a clearer task sequence.</w:t>
            </w:r>
          </w:p>
        </w:tc>
      </w:tr>
      <w:tr>
        <w:tc>
          <w:tcPr>
            <w:tcW w:type="dxa" w:w="2880"/>
          </w:tcPr>
          <w:p>
            <w:r>
              <w:t>Navigation terminology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  <w:tc>
          <w:tcPr>
            <w:tcW w:type="dxa" w:w="2880"/>
          </w:tcPr>
          <w:p>
            <w:r>
              <w:t>Use 'Student Portal' for the app/portal, 'Dashboard' for the main landing screen, 'Course Registration' for Brian's service, and 'Fee Statement' for Mary's service.</w:t>
            </w:r>
          </w:p>
        </w:tc>
      </w:tr>
      <w:tr>
        <w:tc>
          <w:tcPr>
            <w:tcW w:type="dxa" w:w="2880"/>
          </w:tcPr>
          <w:p>
            <w:r>
              <w:t>Confirmation terminology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  <w:tc>
          <w:tcPr>
            <w:tcW w:type="dxa" w:w="2880"/>
          </w:tcPr>
          <w:p>
            <w:r>
              <w:t>Use 'Registration Successful' / 'confirmation message' consistently instead of switching between 'Confirm', 'Registration Successful', and 'Know registration succeeded' as separate interface concepts.</w:t>
            </w:r>
          </w:p>
        </w:tc>
      </w:tr>
      <w:tr>
        <w:tc>
          <w:tcPr>
            <w:tcW w:type="dxa" w:w="2880"/>
          </w:tcPr>
          <w:p>
            <w:r>
              <w:t>Brian's final step</w:t>
            </w:r>
          </w:p>
        </w:tc>
        <w:tc>
          <w:tcPr>
            <w:tcW w:type="dxa" w:w="2880"/>
          </w:tcPr>
          <w:p>
            <w:r>
              <w:t>Clarified</w:t>
            </w:r>
          </w:p>
        </w:tc>
        <w:tc>
          <w:tcPr>
            <w:tcW w:type="dxa" w:w="2880"/>
          </w:tcPr>
          <w:p>
            <w:r>
              <w:t>The source lists 'View Courses' after confirmation. In the task flow this is retained as 'View Registered Courses' so its purpose is unambiguous.</w:t>
            </w:r>
          </w:p>
        </w:tc>
      </w:tr>
      <w:tr>
        <w:tc>
          <w:tcPr>
            <w:tcW w:type="dxa" w:w="2880"/>
          </w:tcPr>
          <w:p>
            <w:r>
              <w:t>Mary's notification step</w:t>
            </w:r>
          </w:p>
        </w:tc>
        <w:tc>
          <w:tcPr>
            <w:tcW w:type="dxa" w:w="2880"/>
          </w:tcPr>
          <w:p>
            <w:r>
              <w:t>Retained</w:t>
            </w:r>
          </w:p>
        </w:tc>
        <w:tc>
          <w:tcPr>
            <w:tcW w:type="dxa" w:w="2880"/>
          </w:tcPr>
          <w:p>
            <w:r>
              <w:t>The source includes a relevant fee notification after saving/downloading. It is retained rather than removing it.</w:t>
            </w:r>
          </w:p>
        </w:tc>
      </w:tr>
      <w:tr>
        <w:tc>
          <w:tcPr>
            <w:tcW w:type="dxa" w:w="2880"/>
          </w:tcPr>
          <w:p>
            <w:r>
              <w:t>HCI/User-Centered Design connection</w:t>
            </w:r>
          </w:p>
        </w:tc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The documented design responses—centralized dashboard, digital self-service, registration confirmation, online fee statement, push notifications, and simple navigation—are reflected in the flows.</w:t>
            </w:r>
          </w:p>
        </w:tc>
      </w:tr>
    </w:tbl>
    <w:p>
      <w:pPr>
        <w:pStyle w:val="Heading1"/>
      </w:pPr>
      <w:r>
        <w:t>4. Recommended Consistent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Preferred Term</w:t>
            </w:r>
          </w:p>
        </w:tc>
      </w:tr>
      <w:tr>
        <w:tc>
          <w:tcPr>
            <w:tcW w:type="dxa" w:w="4320"/>
          </w:tcPr>
          <w:p>
            <w:r>
              <w:t>App / portal</w:t>
            </w:r>
          </w:p>
        </w:tc>
        <w:tc>
          <w:tcPr>
            <w:tcW w:type="dxa" w:w="4320"/>
          </w:tcPr>
          <w:p>
            <w:r>
              <w:t>Student Portal Mobile App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Main screen</w:t>
            </w:r>
          </w:p>
        </w:tc>
        <w:tc>
          <w:tcPr>
            <w:tcW w:type="dxa" w:w="4320"/>
          </w:tcPr>
          <w:p>
            <w:r>
              <w:t>Dashboard</w:t>
            </w:r>
          </w:p>
        </w:tc>
      </w:tr>
      <w:tr>
        <w:tc>
          <w:tcPr>
            <w:tcW w:type="dxa" w:w="4320"/>
          </w:tcPr>
          <w:p>
            <w:r>
              <w:t>Course registration service</w:t>
            </w:r>
          </w:p>
        </w:tc>
        <w:tc>
          <w:tcPr>
            <w:tcW w:type="dxa" w:w="4320"/>
          </w:tcPr>
          <w:p>
            <w:r>
              <w:t>Course Registration</w:t>
            </w:r>
          </w:p>
        </w:tc>
      </w:tr>
      <w:tr>
        <w:tc>
          <w:tcPr>
            <w:tcW w:type="dxa" w:w="4320"/>
          </w:tcPr>
          <w:p>
            <w:r>
              <w:t>Available courses</w:t>
            </w:r>
          </w:p>
        </w:tc>
        <w:tc>
          <w:tcPr>
            <w:tcW w:type="dxa" w:w="4320"/>
          </w:tcPr>
          <w:p>
            <w:r>
              <w:t>Available Courses</w:t>
            </w:r>
          </w:p>
        </w:tc>
      </w:tr>
      <w:tr>
        <w:tc>
          <w:tcPr>
            <w:tcW w:type="dxa" w:w="4320"/>
          </w:tcPr>
          <w:p>
            <w:r>
              <w:t>Fee information</w:t>
            </w:r>
          </w:p>
        </w:tc>
        <w:tc>
          <w:tcPr>
            <w:tcW w:type="dxa" w:w="4320"/>
          </w:tcPr>
          <w:p>
            <w:r>
              <w:t>Fee Statement</w:t>
            </w:r>
          </w:p>
        </w:tc>
      </w:tr>
      <w:tr>
        <w:tc>
          <w:tcPr>
            <w:tcW w:type="dxa" w:w="4320"/>
          </w:tcPr>
          <w:p>
            <w:r>
              <w:t>Registration result</w:t>
            </w:r>
          </w:p>
        </w:tc>
        <w:tc>
          <w:tcPr>
            <w:tcW w:type="dxa" w:w="4320"/>
          </w:tcPr>
          <w:p>
            <w:r>
              <w:t>Registration Successful</w:t>
            </w:r>
          </w:p>
        </w:tc>
      </w:tr>
      <w:tr>
        <w:tc>
          <w:tcPr>
            <w:tcW w:type="dxa" w:w="4320"/>
          </w:tcPr>
          <w:p>
            <w:r>
              <w:t>Alerts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  <w:tr>
        <w:tc>
          <w:tcPr>
            <w:tcW w:type="dxa" w:w="4320"/>
          </w:tcPr>
          <w:p>
            <w:r>
              <w:t>Student records</w:t>
            </w:r>
          </w:p>
        </w:tc>
        <w:tc>
          <w:tcPr>
            <w:tcW w:type="dxa" w:w="4320"/>
          </w:tcPr>
          <w:p>
            <w:r>
              <w:t>Academic Results</w:t>
            </w:r>
          </w:p>
        </w:tc>
      </w:tr>
    </w:tbl>
    <w:p>
      <w:pPr>
        <w:pStyle w:val="Heading1"/>
      </w:pPr>
      <w:r>
        <w:t>5. Overall Consistency Conclusion</w:t>
      </w:r>
    </w:p>
    <w:p>
      <w:r>
        <w:t>The documentation is broadly consistent for the proposed university student portal mobile app. The two personas, their goals and pain points, the two user journeys, and the HCI/user-centered design responses support the same self-service portal concept. The main improvement is to standardize interface terminology and clarify the final course-registration step as 'View Registered Courses'. No major contradiction was identified in the supplied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