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-387972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-620382</wp:posOffset>
                </wp:positionH>
                <wp:positionV relativeFrom="line">
                  <wp:posOffset>-732149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渐进式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B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296" w:hanging="1296"/>
        <w:jc w:val="center"/>
      </w:pPr>
    </w:p>
    <w:p>
      <w:pPr>
        <w:pStyle w:val="正文 A"/>
        <w:ind w:left="1188" w:hanging="1188"/>
        <w:jc w:val="center"/>
      </w:pPr>
    </w:p>
    <w:p>
      <w:pPr>
        <w:pStyle w:val="正文 A"/>
        <w:ind w:left="1080" w:hanging="1080"/>
        <w:jc w:val="center"/>
      </w:pPr>
    </w:p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-2198040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根据演示视频完成功能开发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进入股票选择页默认没有选择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点击添加股票进入搜索页面，在输入框内输入关键字显示相关数据，数据自行</w:t>
      </w:r>
      <w:r>
        <w:rPr>
          <w:rFonts w:ascii="宋体" w:cs="宋体" w:hAnsi="宋体" w:eastAsia="宋体"/>
          <w:rtl w:val="0"/>
          <w:lang w:val="zh-CN" w:eastAsia="zh-CN"/>
        </w:rPr>
        <w:t>mock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点击添加加入到选择的股票列表中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选择好的多条股票点击编辑可以删除相应的股票数据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首页</w:t>
      </w:r>
      <w:r>
        <w:rPr>
          <w:rFonts w:ascii="宋体" w:cs="宋体" w:hAnsi="宋体" w:eastAsia="宋体"/>
          <w:rtl w:val="0"/>
          <w:lang w:val="zh-CN" w:eastAsia="zh-CN"/>
        </w:rPr>
        <w:t>的基本排版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搜索页</w:t>
      </w:r>
      <w:r>
        <w:rPr>
          <w:rFonts w:ascii="宋体" w:cs="宋体" w:hAnsi="宋体" w:eastAsia="宋体"/>
          <w:rtl w:val="0"/>
          <w:lang w:val="zh-CN" w:eastAsia="zh-CN"/>
        </w:rPr>
        <w:t>的排版及</w:t>
      </w:r>
      <w:r>
        <w:rPr>
          <w:rFonts w:ascii="宋体" w:cs="宋体" w:hAnsi="宋体" w:eastAsia="宋体"/>
          <w:rtl w:val="0"/>
          <w:lang w:val="zh-CN" w:eastAsia="zh-CN"/>
        </w:rPr>
        <w:t>mock</w:t>
      </w:r>
      <w:r>
        <w:rPr>
          <w:rFonts w:ascii="宋体" w:cs="宋体" w:hAnsi="宋体" w:eastAsia="宋体"/>
          <w:rtl w:val="0"/>
          <w:lang w:val="zh-CN" w:eastAsia="zh-CN"/>
        </w:rPr>
        <w:t>数据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实现搜索关键词显示相应数据并且能进行添加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添加的股票数据成功加入到首页的股票列表中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点击编辑进入编辑页面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在编辑页面实现对某条股票的删除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删除之后的数据首页也删除掉对应的数据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添加股票及删除股票全部使用合理的</w:t>
      </w:r>
      <w:r>
        <w:rPr>
          <w:rFonts w:ascii="宋体" w:cs="宋体" w:hAnsi="宋体" w:eastAsia="宋体"/>
          <w:rtl w:val="0"/>
          <w:lang w:val="zh-CN" w:eastAsia="zh-CN"/>
        </w:rPr>
        <w:t>action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已经选择好的股票在首页刷新之后数据依然保留（</w:t>
      </w:r>
      <w:r>
        <w:rPr>
          <w:rFonts w:ascii="宋体" w:cs="宋体" w:hAnsi="宋体" w:eastAsia="宋体"/>
          <w:rtl w:val="0"/>
          <w:lang w:val="zh-CN" w:eastAsia="zh-CN"/>
        </w:rPr>
        <w:t>redux</w:t>
      </w:r>
      <w:r>
        <w:rPr>
          <w:rFonts w:ascii="宋体" w:cs="宋体" w:hAnsi="宋体" w:eastAsia="宋体"/>
          <w:rtl w:val="0"/>
          <w:lang w:val="zh-CN" w:eastAsia="zh-CN"/>
        </w:rPr>
        <w:t>数据持久化）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目录代码结构清晰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