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60"/>
        <w:jc w:val="center"/>
      </w:pPr>
      <w:r>
        <w:rPr>
          <w:rFonts w:ascii="Noto Serif CJK SC" w:hAnsi="Noto Serif CJK SC" w:eastAsia="Noto Serif CJK SC"/>
          <w:b/>
          <w:i w:val="0"/>
          <w:color w:val="1F4E79"/>
          <w:sz w:val="50"/>
        </w:rPr>
        <w:t>SPMPC RA-L 论文组织方案与 Method 章节初稿</w:t>
      </w:r>
    </w:p>
    <w:p>
      <w:pPr>
        <w:jc w:val="center"/>
      </w:pPr>
      <w:r>
        <w:rPr>
          <w:rFonts w:ascii="Noto Sans CJK SC" w:hAnsi="Noto Sans CJK SC" w:eastAsia="Noto Sans CJK SC"/>
          <w:b/>
          <w:i w:val="0"/>
          <w:color w:val="C0504D"/>
          <w:sz w:val="26"/>
        </w:rPr>
        <w:t>第一版范围冻结：不纳入 Terrain-conditioned Slosh Experience Prior</w:t>
      </w:r>
    </w:p>
    <w:p>
      <w:pPr>
        <w:spacing w:before="200"/>
        <w:jc w:val="center"/>
      </w:pPr>
      <w:r>
        <w:rPr>
          <w:rFonts w:ascii="Noto Sans CJK SC" w:hAnsi="Noto Sans CJK SC" w:eastAsia="Noto Sans CJK SC"/>
          <w:b w:val="0"/>
          <w:i w:val="0"/>
          <w:color w:val="444444"/>
          <w:sz w:val="24"/>
        </w:rPr>
        <w:t>目标期刊：IEEE Robotics and Automation Letters (RA-L)</w:t>
      </w:r>
    </w:p>
    <w:p>
      <w:pPr>
        <w:jc w:val="center"/>
      </w:pPr>
      <w:r>
        <w:rPr>
          <w:rFonts w:ascii="Noto Sans CJK SC" w:hAnsi="Noto Sans CJK SC" w:eastAsia="Noto Sans CJK SC"/>
          <w:b w:val="0"/>
          <w:i w:val="0"/>
          <w:color w:val="444444"/>
          <w:sz w:val="23"/>
        </w:rPr>
        <w:t>项目：轮式移动机器人开口液体运输的晃液感知局部规划控制</w:t>
      </w:r>
    </w:p>
    <w:p/>
    <w:p/>
    <w:p/>
    <w:p/>
    <w:tbl>
      <w:tblPr>
        <w:tblW w:type="auto" w:w="0"/>
        <w:jc w:val="center"/>
        <w:tblLayout w:type="autofit"/>
        <w:tblLook w:firstColumn="1" w:firstRow="1" w:lastColumn="0" w:lastRow="0" w:noHBand="0" w:noVBand="1" w:val="04A0"/>
      </w:tblPr>
      <w:tblGrid>
        <w:gridCol w:w="9922"/>
      </w:tblGrid>
      <w:tr>
        <w:tc>
          <w:tcPr>
            <w:tcW w:type="dxa" w:w="9922"/>
            <w:shd w:fill="EAF2F8"/>
            <w:tcBorders>
              <w:top w:val="single" w:sz="10" w:color="4472C4"/>
              <w:left w:val="single" w:sz="10" w:color="4472C4"/>
              <w:bottom w:val="single" w:sz="10" w:color="4472C4"/>
              <w:right w:val="single" w:sz="10" w:color="4472C4"/>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本版论文的两项贡献（冻结口径）</w:t>
            </w:r>
          </w:p>
          <w:p>
            <w:pPr>
              <w:spacing w:after="0"/>
            </w:pPr>
            <w:r>
              <w:rPr>
                <w:rFonts w:ascii="Noto Sans CJK SC" w:hAnsi="Noto Sans CJK SC" w:eastAsia="Noto Sans CJK SC"/>
                <w:b w:val="0"/>
                <w:i w:val="0"/>
                <w:sz w:val="20"/>
              </w:rPr>
              <w:t>贡献 1：slosh-aware alpha-state MPCC local planner。</w:t>
              <w:br/>
              <w:t>贡献 2：same-framework ablation + local-planner baselines + RGB real-robot validation。</w:t>
              <w:br/>
              <w:br/>
              <w:t>地形条件晃液经验地图保留为后续扩展；导师若决定纳入，再新增独立 Method 子节与实物冻结地图盲测。</w:t>
            </w:r>
          </w:p>
        </w:tc>
      </w:tr>
    </w:tbl>
    <w:p>
      <w:pPr>
        <w:spacing w:after="0"/>
      </w:pPr>
    </w:p>
    <w:p>
      <w:pPr>
        <w:spacing w:before="360"/>
        <w:jc w:val="center"/>
      </w:pPr>
      <w:r>
        <w:rPr>
          <w:rFonts w:ascii="Noto Sans CJK SC" w:hAnsi="Noto Sans CJK SC" w:eastAsia="Noto Sans CJK SC"/>
          <w:b w:val="0"/>
          <w:i w:val="0"/>
          <w:color w:val="787878"/>
          <w:sz w:val="18"/>
        </w:rPr>
        <w:t>版本日期：2026-06-24</w:t>
      </w:r>
    </w:p>
    <w:p>
      <w:r>
        <w:br w:type="page"/>
      </w:r>
    </w:p>
    <w:p>
      <w:pPr>
        <w:pStyle w:val="Heading1"/>
        <w:keepNext/>
        <w:spacing w:before="160" w:after="80"/>
      </w:pPr>
      <w:r>
        <w:rPr>
          <w:rFonts w:ascii="Noto Serif CJK SC" w:hAnsi="Noto Serif CJK SC" w:eastAsia="Noto Serif CJK SC"/>
          <w:b/>
          <w:i w:val="0"/>
          <w:color w:val="1F4E79"/>
          <w:sz w:val="30"/>
        </w:rPr>
        <w:t>0. 先给出最终决策</w:t>
      </w:r>
    </w:p>
    <w:tbl>
      <w:tblPr>
        <w:tblW w:type="auto" w:w="0"/>
        <w:jc w:val="center"/>
        <w:tblLayout w:type="autofit"/>
        <w:tblLook w:firstColumn="1" w:firstRow="1" w:lastColumn="0" w:lastRow="0" w:noHBand="0" w:noVBand="1" w:val="04A0"/>
      </w:tblPr>
      <w:tblGrid>
        <w:gridCol w:w="9922"/>
      </w:tblGrid>
      <w:tr>
        <w:tc>
          <w:tcPr>
            <w:tcW w:type="dxa" w:w="9922"/>
            <w:shd w:fill="FFF2CC"/>
            <w:tcBorders>
              <w:top w:val="single" w:sz="10" w:color="BF9000"/>
              <w:left w:val="single" w:sz="10" w:color="BF9000"/>
              <w:bottom w:val="single" w:sz="10" w:color="BF9000"/>
              <w:right w:val="single" w:sz="10" w:color="BF9000"/>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结论一：B0 和 DWA/TEB/LT-DWA 不是二选一</w:t>
            </w:r>
          </w:p>
          <w:p>
            <w:pPr>
              <w:spacing w:after="0"/>
            </w:pPr>
            <w:r>
              <w:rPr>
                <w:rFonts w:ascii="Noto Sans CJK SC" w:hAnsi="Noto Sans CJK SC" w:eastAsia="Noto Sans CJK SC"/>
                <w:b w:val="0"/>
                <w:i w:val="0"/>
                <w:sz w:val="20"/>
              </w:rPr>
              <w:t>B0 是同框架内部消融基线，必须保留；DWA、TEB、官方 LT-DWA（或 mpc_local_planner）是外部同层 local-planner baseline。二者回答的问题不同，不能互相替代。</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结论二：第一版 RA-L 不纳入地图模块</w:t>
            </w:r>
          </w:p>
          <w:p>
            <w:pPr>
              <w:spacing w:after="0"/>
            </w:pPr>
            <w:r>
              <w:rPr>
                <w:rFonts w:ascii="Noto Sans CJK SC" w:hAnsi="Noto Sans CJK SC" w:eastAsia="Noto Sans CJK SC"/>
                <w:b w:val="0"/>
                <w:i w:val="0"/>
                <w:sz w:val="20"/>
              </w:rPr>
              <w:t>第一版将全部篇幅集中到 SPMPC 本体、内部因果消融、同层规划器对比和 RGB 实物验证。地图模块保留为下一版扩展，避免主线发散。</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E2F0D9"/>
            <w:tcBorders>
              <w:top w:val="single" w:sz="10" w:color="70AD47"/>
              <w:left w:val="single" w:sz="10" w:color="70AD47"/>
              <w:bottom w:val="single" w:sz="10" w:color="70AD47"/>
              <w:right w:val="single" w:sz="10" w:color="70AD47"/>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结论三：最重要的因果对比</w:t>
            </w:r>
          </w:p>
          <w:p>
            <w:pPr>
              <w:spacing w:after="0"/>
            </w:pPr>
            <w:r>
              <w:rPr>
                <w:rFonts w:ascii="Noto Sans CJK SC" w:hAnsi="Noto Sans CJK SC" w:eastAsia="Noto Sans CJK SC"/>
                <w:b w:val="0"/>
                <w:i w:val="0"/>
                <w:sz w:val="20"/>
              </w:rPr>
              <w:t>B_ours vs B_smooth 用于证明显式液体状态预测在普通 smooth shaping 之外提供额外收益；B_ours vs B_slosh 用于证明 smooth shaping 对抑制 slosh-only 的速度调制是必要的。</w:t>
            </w:r>
          </w:p>
        </w:tc>
      </w:tr>
    </w:tbl>
    <w:p>
      <w:pPr>
        <w:spacing w:after="0"/>
      </w:pPr>
    </w:p>
    <w:p>
      <w:pPr>
        <w:pStyle w:val="Heading2"/>
        <w:keepNext/>
        <w:spacing w:before="100" w:after="80"/>
      </w:pPr>
      <w:r>
        <w:rPr>
          <w:rFonts w:ascii="Noto Serif CJK SC" w:hAnsi="Noto Serif CJK SC" w:eastAsia="Noto Serif CJK SC"/>
          <w:b/>
          <w:i w:val="0"/>
          <w:color w:val="1F4E79"/>
          <w:sz w:val="26"/>
        </w:rPr>
        <w:t>0.1 推荐的最终方法矩阵</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1417"/>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实验层级</w:t>
            </w:r>
          </w:p>
        </w:tc>
        <w:tc>
          <w:tcPr>
            <w:tcW w:type="dxa" w:w="2835"/>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方法</w:t>
            </w:r>
          </w:p>
        </w:tc>
        <w:tc>
          <w:tcPr>
            <w:tcW w:type="dxa" w:w="130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是否必须</w:t>
            </w:r>
          </w:p>
        </w:tc>
        <w:tc>
          <w:tcPr>
            <w:tcW w:type="dxa" w:w="3969"/>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回答的问题</w:t>
            </w:r>
          </w:p>
        </w:tc>
      </w:tr>
      <w:tr>
        <w:tc>
          <w:tcPr>
            <w:tcW w:type="dxa" w:w="1417"/>
            <w:vAlign w:val="center"/>
            <w:tcMar>
              <w:top w:w="80" w:type="dxa"/>
              <w:start w:w="90" w:type="dxa"/>
              <w:bottom w:w="80" w:type="dxa"/>
              <w:end w:w="90" w:type="dxa"/>
            </w:tcMar>
          </w:tcPr>
          <w:p>
            <w:pPr>
              <w:spacing w:after="0"/>
            </w:pPr>
            <w:r>
              <w:rPr>
                <w:rFonts w:ascii="Noto Sans CJK SC" w:hAnsi="Noto Sans CJK SC" w:eastAsia="Noto Sans CJK SC"/>
                <w:b w:val="0"/>
                <w:i w:val="0"/>
                <w:sz w:val="17"/>
              </w:rPr>
              <w:t>内部消融</w:t>
            </w:r>
          </w:p>
        </w:tc>
        <w:tc>
          <w:tcPr>
            <w:tcW w:type="dxa" w:w="2835"/>
            <w:vAlign w:val="center"/>
            <w:tcMar>
              <w:top w:w="80" w:type="dxa"/>
              <w:start w:w="90" w:type="dxa"/>
              <w:bottom w:w="80" w:type="dxa"/>
              <w:end w:w="90" w:type="dxa"/>
            </w:tcMar>
          </w:tcPr>
          <w:p>
            <w:pPr>
              <w:spacing w:after="0"/>
            </w:pPr>
            <w:r>
              <w:rPr>
                <w:rFonts w:ascii="Noto Sans CJK SC" w:hAnsi="Noto Sans CJK SC" w:eastAsia="Noto Sans CJK SC"/>
                <w:b w:val="0"/>
                <w:i w:val="0"/>
                <w:sz w:val="17"/>
              </w:rPr>
              <w:t>B0 / B_slosh / B_smooth / B_ours</w:t>
            </w:r>
          </w:p>
        </w:tc>
        <w:tc>
          <w:tcPr>
            <w:tcW w:type="dxa" w:w="1304"/>
            <w:vAlign w:val="center"/>
            <w:tcMar>
              <w:top w:w="80" w:type="dxa"/>
              <w:start w:w="90" w:type="dxa"/>
              <w:bottom w:w="80" w:type="dxa"/>
              <w:end w:w="90" w:type="dxa"/>
            </w:tcMar>
          </w:tcPr>
          <w:p>
            <w:pPr>
              <w:spacing w:after="0"/>
            </w:pPr>
            <w:r>
              <w:rPr>
                <w:rFonts w:ascii="Noto Sans CJK SC" w:hAnsi="Noto Sans CJK SC" w:eastAsia="Noto Sans CJK SC"/>
                <w:b w:val="0"/>
                <w:i w:val="0"/>
                <w:sz w:val="17"/>
              </w:rPr>
              <w:t>必须</w:t>
            </w:r>
          </w:p>
        </w:tc>
        <w:tc>
          <w:tcPr>
            <w:tcW w:type="dxa" w:w="3969"/>
            <w:vAlign w:val="center"/>
            <w:tcMar>
              <w:top w:w="80" w:type="dxa"/>
              <w:start w:w="90" w:type="dxa"/>
              <w:bottom w:w="80" w:type="dxa"/>
              <w:end w:w="90" w:type="dxa"/>
            </w:tcMar>
          </w:tcPr>
          <w:p>
            <w:pPr>
              <w:spacing w:after="0"/>
            </w:pPr>
            <w:r>
              <w:rPr>
                <w:rFonts w:ascii="Noto Sans CJK SC" w:hAnsi="Noto Sans CJK SC" w:eastAsia="Noto Sans CJK SC"/>
                <w:b w:val="0"/>
                <w:i w:val="0"/>
                <w:sz w:val="17"/>
              </w:rPr>
              <w:t>slosh state/cost、smooth shaping 及其组合各自贡献是什么？</w:t>
            </w:r>
          </w:p>
        </w:tc>
      </w:tr>
      <w:tr>
        <w:tc>
          <w:tcPr>
            <w:tcW w:type="dxa" w:w="141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外部同层</w:t>
            </w:r>
          </w:p>
        </w:tc>
        <w:tc>
          <w:tcPr>
            <w:tcW w:type="dxa" w:w="283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DWA / TEB / B_ours</w:t>
            </w:r>
          </w:p>
        </w:tc>
        <w:tc>
          <w:tcPr>
            <w:tcW w:type="dxa" w:w="130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必须</w:t>
            </w:r>
          </w:p>
        </w:tc>
        <w:tc>
          <w:tcPr>
            <w:tcW w:type="dxa" w:w="3969"/>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SPMPC 作为 local planner 是否相对经典采样与轨迹优化方法有竞争力？</w:t>
            </w:r>
          </w:p>
        </w:tc>
      </w:tr>
      <w:tr>
        <w:tc>
          <w:tcPr>
            <w:tcW w:type="dxa" w:w="1417"/>
            <w:vAlign w:val="center"/>
            <w:tcMar>
              <w:top w:w="80" w:type="dxa"/>
              <w:start w:w="90" w:type="dxa"/>
              <w:bottom w:w="80" w:type="dxa"/>
              <w:end w:w="90" w:type="dxa"/>
            </w:tcMar>
          </w:tcPr>
          <w:p>
            <w:pPr>
              <w:spacing w:after="0"/>
            </w:pPr>
            <w:r>
              <w:rPr>
                <w:rFonts w:ascii="Noto Sans CJK SC" w:hAnsi="Noto Sans CJK SC" w:eastAsia="Noto Sans CJK SC"/>
                <w:b w:val="0"/>
                <w:i w:val="0"/>
                <w:sz w:val="17"/>
              </w:rPr>
              <w:t>现代同层</w:t>
            </w:r>
          </w:p>
        </w:tc>
        <w:tc>
          <w:tcPr>
            <w:tcW w:type="dxa" w:w="2835"/>
            <w:vAlign w:val="center"/>
            <w:tcMar>
              <w:top w:w="80" w:type="dxa"/>
              <w:start w:w="90" w:type="dxa"/>
              <w:bottom w:w="80" w:type="dxa"/>
              <w:end w:w="90" w:type="dxa"/>
            </w:tcMar>
          </w:tcPr>
          <w:p>
            <w:pPr>
              <w:spacing w:after="0"/>
            </w:pPr>
            <w:r>
              <w:rPr>
                <w:rFonts w:ascii="Noto Sans CJK SC" w:hAnsi="Noto Sans CJK SC" w:eastAsia="Noto Sans CJK SC"/>
                <w:b w:val="0"/>
                <w:i w:val="0"/>
                <w:sz w:val="17"/>
              </w:rPr>
              <w:t>官方 LT-DWA 或 mpc_local_planner</w:t>
            </w:r>
          </w:p>
        </w:tc>
        <w:tc>
          <w:tcPr>
            <w:tcW w:type="dxa" w:w="1304"/>
            <w:vAlign w:val="center"/>
            <w:tcMar>
              <w:top w:w="80" w:type="dxa"/>
              <w:start w:w="90" w:type="dxa"/>
              <w:bottom w:w="80" w:type="dxa"/>
              <w:end w:w="90" w:type="dxa"/>
            </w:tcMar>
          </w:tcPr>
          <w:p>
            <w:pPr>
              <w:spacing w:after="0"/>
            </w:pPr>
            <w:r>
              <w:rPr>
                <w:rFonts w:ascii="Noto Sans CJK SC" w:hAnsi="Noto Sans CJK SC" w:eastAsia="Noto Sans CJK SC"/>
                <w:b w:val="0"/>
                <w:i w:val="0"/>
                <w:sz w:val="17"/>
              </w:rPr>
              <w:t>强烈建议</w:t>
            </w:r>
          </w:p>
        </w:tc>
        <w:tc>
          <w:tcPr>
            <w:tcW w:type="dxa" w:w="3969"/>
            <w:vAlign w:val="center"/>
            <w:tcMar>
              <w:top w:w="80" w:type="dxa"/>
              <w:start w:w="90" w:type="dxa"/>
              <w:bottom w:w="80" w:type="dxa"/>
              <w:end w:w="90" w:type="dxa"/>
            </w:tcMar>
          </w:tcPr>
          <w:p>
            <w:pPr>
              <w:spacing w:after="0"/>
            </w:pPr>
            <w:r>
              <w:rPr>
                <w:rFonts w:ascii="Noto Sans CJK SC" w:hAnsi="Noto Sans CJK SC" w:eastAsia="Noto Sans CJK SC"/>
                <w:b w:val="0"/>
                <w:i w:val="0"/>
                <w:sz w:val="17"/>
              </w:rPr>
              <w:t>不是只和旧 DWA/TEB 比；与现代长视域或普通 NMPC local planner 比较。</w:t>
            </w:r>
          </w:p>
        </w:tc>
      </w:tr>
      <w:tr>
        <w:tc>
          <w:tcPr>
            <w:tcW w:type="dxa" w:w="141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液体防晃</w:t>
            </w:r>
          </w:p>
        </w:tc>
        <w:tc>
          <w:tcPr>
            <w:tcW w:type="dxa" w:w="283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Hamaguchi-inspired / Lim-inspired / B_ours</w:t>
            </w:r>
          </w:p>
        </w:tc>
        <w:tc>
          <w:tcPr>
            <w:tcW w:type="dxa" w:w="130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补充或附录</w:t>
            </w:r>
          </w:p>
        </w:tc>
        <w:tc>
          <w:tcPr>
            <w:tcW w:type="dxa" w:w="3969"/>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在线 SPMPC 与传统输入整形、离线液体轨迹优化有何差异？</w:t>
            </w:r>
          </w:p>
        </w:tc>
      </w:tr>
    </w:tbl>
    <w:p>
      <w:pPr>
        <w:spacing w:after="0"/>
      </w:pPr>
    </w:p>
    <w:p>
      <w:pPr>
        <w:pStyle w:val="Heading2"/>
        <w:keepNext/>
        <w:spacing w:before="100" w:after="80"/>
      </w:pPr>
      <w:r>
        <w:rPr>
          <w:rFonts w:ascii="Noto Serif CJK SC" w:hAnsi="Noto Serif CJK SC" w:eastAsia="Noto Serif CJK SC"/>
          <w:b/>
          <w:i w:val="0"/>
          <w:color w:val="1F4E79"/>
          <w:sz w:val="26"/>
        </w:rPr>
        <w:t>0.2 Baseline 选择建议</w:t>
      </w:r>
    </w:p>
    <w:p>
      <w:pPr>
        <w:keepNext w:val="0"/>
        <w:spacing w:before="0" w:after="80" w:line="283" w:lineRule="auto"/>
      </w:pPr>
      <w:r>
        <w:rPr>
          <w:rFonts w:ascii="Noto Sans CJK SC" w:hAnsi="Noto Sans CJK SC" w:eastAsia="Noto Sans CJK SC"/>
          <w:b w:val="0"/>
          <w:i w:val="0"/>
          <w:sz w:val="21"/>
        </w:rPr>
        <w:t>建议采用“两张主表 + 一张补充表”的组织方式：</w:t>
      </w:r>
    </w:p>
    <w:p>
      <w:pPr>
        <w:spacing w:after="40"/>
        <w:ind w:left="312" w:hanging="255"/>
      </w:pPr>
      <w:r>
        <w:rPr>
          <w:rFonts w:ascii="Noto Sans CJK SC" w:hAnsi="Noto Sans CJK SC" w:eastAsia="Noto Sans CJK SC"/>
          <w:b w:val="0"/>
          <w:i w:val="0"/>
          <w:sz w:val="21"/>
        </w:rPr>
        <w:t xml:space="preserve">1. </w:t>
      </w:r>
      <w:r>
        <w:rPr>
          <w:rFonts w:ascii="Noto Sans CJK SC" w:hAnsi="Noto Sans CJK SC" w:eastAsia="Noto Sans CJK SC"/>
          <w:b w:val="0"/>
          <w:i w:val="0"/>
          <w:sz w:val="21"/>
        </w:rPr>
        <w:t>主表 A（同框架消融）：B0、B_slosh、B_smooth、B_ours。</w:t>
      </w:r>
    </w:p>
    <w:p>
      <w:pPr>
        <w:spacing w:after="40"/>
        <w:ind w:left="312" w:hanging="255"/>
      </w:pPr>
      <w:r>
        <w:rPr>
          <w:rFonts w:ascii="Noto Sans CJK SC" w:hAnsi="Noto Sans CJK SC" w:eastAsia="Noto Sans CJK SC"/>
          <w:b w:val="0"/>
          <w:i w:val="0"/>
          <w:sz w:val="21"/>
        </w:rPr>
        <w:t xml:space="preserve">2. </w:t>
      </w:r>
      <w:r>
        <w:rPr>
          <w:rFonts w:ascii="Noto Sans CJK SC" w:hAnsi="Noto Sans CJK SC" w:eastAsia="Noto Sans CJK SC"/>
          <w:b w:val="0"/>
          <w:i w:val="0"/>
          <w:sz w:val="21"/>
        </w:rPr>
        <w:t>主表 B（同层 local planner）：DWA、TEB、B_ours，以及通过跟踪 Gate 的官方 LT-DWA。</w:t>
      </w:r>
    </w:p>
    <w:p>
      <w:pPr>
        <w:spacing w:after="40"/>
        <w:ind w:left="312" w:hanging="255"/>
      </w:pPr>
      <w:r>
        <w:rPr>
          <w:rFonts w:ascii="Noto Sans CJK SC" w:hAnsi="Noto Sans CJK SC" w:eastAsia="Noto Sans CJK SC"/>
          <w:b w:val="0"/>
          <w:i w:val="0"/>
          <w:sz w:val="21"/>
        </w:rPr>
        <w:t xml:space="preserve">3. </w:t>
      </w:r>
      <w:r>
        <w:rPr>
          <w:rFonts w:ascii="Noto Sans CJK SC" w:hAnsi="Noto Sans CJK SC" w:eastAsia="Noto Sans CJK SC"/>
          <w:b w:val="0"/>
          <w:i w:val="0"/>
          <w:sz w:val="21"/>
        </w:rPr>
        <w:t>补充表 C（液体防晃方法）：Hamaguchi-inspired、Lim-inspired、B_smooth、B_ours。</w:t>
      </w:r>
    </w:p>
    <w:p>
      <w:pPr>
        <w:keepNext w:val="0"/>
        <w:spacing w:before="0" w:after="80" w:line="283" w:lineRule="auto"/>
      </w:pPr>
      <w:r>
        <w:rPr>
          <w:rFonts w:ascii="Noto Sans CJK SC" w:hAnsi="Noto Sans CJK SC" w:eastAsia="Noto Sans CJK SC"/>
          <w:b w:val="0"/>
          <w:i w:val="0"/>
          <w:sz w:val="21"/>
        </w:rPr>
        <w:t>若官方 LT-DWA 在 fixed-path S 曲线下无法稳定通过跟踪 Gate，应由 mpc_local_planner 替代进入主表，LT-DWA 放附录并如实报告适配性。</w:t>
      </w:r>
    </w:p>
    <w:p>
      <w:pPr>
        <w:pStyle w:val="Heading2"/>
        <w:keepNext/>
        <w:spacing w:before="100" w:after="80"/>
      </w:pPr>
      <w:r>
        <w:rPr>
          <w:rFonts w:ascii="Noto Serif CJK SC" w:hAnsi="Noto Serif CJK SC" w:eastAsia="Noto Serif CJK SC"/>
          <w:b/>
          <w:i w:val="0"/>
          <w:color w:val="1F4E79"/>
          <w:sz w:val="26"/>
        </w:rPr>
        <w:t>0.3 RA-L 篇幅约束下的策略</w:t>
      </w:r>
    </w:p>
    <w:p>
      <w:pPr>
        <w:keepNext w:val="0"/>
        <w:spacing w:before="0" w:after="80" w:line="283" w:lineRule="auto"/>
      </w:pPr>
      <w:r>
        <w:rPr>
          <w:rFonts w:ascii="Noto Sans CJK SC" w:hAnsi="Noto Sans CJK SC" w:eastAsia="Noto Sans CJK SC"/>
          <w:b w:val="0"/>
          <w:i w:val="0"/>
          <w:sz w:val="21"/>
        </w:rPr>
        <w:t>RA-L 标准稿件为 IEEE Letters 格式 6 页，可增加最多 2 页，因此建议按 8 页完整稿规划，再压缩到投稿版本。第一版不再加入地图、延迟补偿或完整 obstacle-aware OCP，以保证一个主问题、一套方法和一条证据链。</w:t>
      </w:r>
    </w:p>
    <w:p>
      <w:pPr>
        <w:pStyle w:val="Heading1"/>
        <w:keepNext/>
        <w:spacing w:before="160" w:after="80"/>
      </w:pPr>
      <w:r>
        <w:rPr>
          <w:rFonts w:ascii="Noto Serif CJK SC" w:hAnsi="Noto Serif CJK SC" w:eastAsia="Noto Serif CJK SC"/>
          <w:b/>
          <w:i w:val="0"/>
          <w:color w:val="1F4E79"/>
          <w:sz w:val="30"/>
        </w:rPr>
        <w:t>1. 全文叙事与章节组织</w:t>
      </w:r>
    </w:p>
    <w:p>
      <w:pPr>
        <w:keepNext w:val="0"/>
        <w:spacing w:before="0" w:after="80" w:line="283" w:lineRule="auto"/>
      </w:pPr>
      <w:r>
        <w:rPr>
          <w:rFonts w:ascii="Noto Sans CJK SC" w:hAnsi="Noto Sans CJK SC" w:eastAsia="Noto Sans CJK SC"/>
          <w:b w:val="0"/>
          <w:i w:val="0"/>
          <w:sz w:val="21"/>
        </w:rPr>
        <w:t>整篇论文应围绕一个问题展开：给定固定全局路径，如何在局部滚动优化中显式考虑液体动态记忆，使移动机器人在保持到点与路径跟踪性能的同时降低液面晃动？</w:t>
      </w:r>
    </w:p>
    <w:p>
      <w:pPr>
        <w:pStyle w:val="Heading2"/>
        <w:keepNext/>
        <w:spacing w:before="100" w:after="80"/>
      </w:pPr>
      <w:r>
        <w:rPr>
          <w:rFonts w:ascii="Noto Serif CJK SC" w:hAnsi="Noto Serif CJK SC" w:eastAsia="Noto Serif CJK SC"/>
          <w:b/>
          <w:i w:val="0"/>
          <w:color w:val="1F4E79"/>
          <w:sz w:val="26"/>
        </w:rPr>
        <w:t>1.1 建议标题（工作标题）</w:t>
      </w:r>
    </w:p>
    <w:p>
      <w:pPr>
        <w:pStyle w:val="ListBullet"/>
        <w:spacing w:after="40" w:line="269" w:lineRule="auto"/>
      </w:pPr>
      <w:r>
        <w:rPr>
          <w:rFonts w:ascii="Noto Sans CJK SC" w:hAnsi="Noto Sans CJK SC" w:eastAsia="Noto Sans CJK SC"/>
          <w:b w:val="0"/>
          <w:i w:val="0"/>
          <w:sz w:val="21"/>
        </w:rPr>
        <w:t>Slosh-Aware Model Predictive Contouring Control for Open-Liquid Transportation by Wheeled Mobile Robots</w:t>
      </w:r>
    </w:p>
    <w:p>
      <w:pPr>
        <w:pStyle w:val="ListBullet"/>
        <w:spacing w:after="40" w:line="269" w:lineRule="auto"/>
      </w:pPr>
      <w:r>
        <w:rPr>
          <w:rFonts w:ascii="Noto Sans CJK SC" w:hAnsi="Noto Sans CJK SC" w:eastAsia="Noto Sans CJK SC"/>
          <w:b w:val="0"/>
          <w:i w:val="0"/>
          <w:sz w:val="21"/>
        </w:rPr>
        <w:t>Slosh-Aware Local Planning and Control for Mobile Robot Liquid Transportation</w:t>
      </w:r>
    </w:p>
    <w:p>
      <w:pPr>
        <w:pStyle w:val="ListBullet"/>
        <w:spacing w:after="40" w:line="269" w:lineRule="auto"/>
      </w:pPr>
      <w:r>
        <w:rPr>
          <w:rFonts w:ascii="Noto Sans CJK SC" w:hAnsi="Noto Sans CJK SC" w:eastAsia="Noto Sans CJK SC"/>
          <w:b w:val="0"/>
          <w:i w:val="0"/>
          <w:sz w:val="21"/>
        </w:rPr>
        <w:t>面向轮式移动机器人开口液体运输的晃液感知模型预测轮廓控制</w:t>
      </w:r>
    </w:p>
    <w:p>
      <w:pPr>
        <w:pStyle w:val="Heading2"/>
        <w:keepNext/>
        <w:spacing w:before="100" w:after="80"/>
      </w:pPr>
      <w:r>
        <w:rPr>
          <w:rFonts w:ascii="Noto Serif CJK SC" w:hAnsi="Noto Serif CJK SC" w:eastAsia="Noto Serif CJK SC"/>
          <w:b/>
          <w:i w:val="0"/>
          <w:color w:val="1F4E79"/>
          <w:sz w:val="26"/>
        </w:rPr>
        <w:t>1.2 两项贡献的论文表述</w:t>
      </w:r>
    </w:p>
    <w:p>
      <w:pPr>
        <w:keepNext w:val="0"/>
        <w:spacing w:before="0" w:after="80" w:line="283" w:lineRule="auto"/>
      </w:pPr>
      <w:r>
        <w:rPr>
          <w:rFonts w:ascii="Noto Sans CJK SC" w:hAnsi="Noto Sans CJK SC" w:eastAsia="Noto Sans CJK SC"/>
          <w:b w:val="0"/>
          <w:i w:val="0"/>
          <w:sz w:val="21"/>
        </w:rPr>
        <w:t>建议在 Introduction 末尾使用两条贡献，不再将“使用 acados、warm start、TerminalController、RGB 检测”等工程组成单列为贡献。</w:t>
      </w:r>
    </w:p>
    <w:tbl>
      <w:tblPr>
        <w:tblW w:type="auto" w:w="0"/>
        <w:jc w:val="center"/>
        <w:tblLayout w:type="autofit"/>
        <w:tblLook w:firstColumn="1" w:firstRow="1" w:lastColumn="0" w:lastRow="0" w:noHBand="0" w:noVBand="1" w:val="04A0"/>
      </w:tblPr>
      <w:tblGrid>
        <w:gridCol w:w="9922"/>
      </w:tblGrid>
      <w:tr>
        <w:tc>
          <w:tcPr>
            <w:tcW w:type="dxa" w:w="9922"/>
            <w:shd w:fill="EAF2F8"/>
            <w:tcBorders>
              <w:top w:val="single" w:sz="10" w:color="4472C4"/>
              <w:left w:val="single" w:sz="10" w:color="4472C4"/>
              <w:bottom w:val="single" w:sz="10" w:color="4472C4"/>
              <w:right w:val="single" w:sz="10" w:color="4472C4"/>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Contribution 1（英文草案）</w:t>
            </w:r>
          </w:p>
          <w:p>
            <w:pPr>
              <w:spacing w:after="0"/>
            </w:pPr>
            <w:r>
              <w:rPr>
                <w:rFonts w:ascii="Noto Sans CJK SC" w:hAnsi="Noto Sans CJK SC" w:eastAsia="Noto Sans CJK SC"/>
                <w:b w:val="0"/>
                <w:i w:val="0"/>
                <w:sz w:val="20"/>
              </w:rPr>
              <w:t>We propose a slosh-aware alpha-state model predictive contouring controller for wheeled mobile robots carrying open liquid containers. The formulation augments the Cartesian robot and path-progress dynamics with second-order liquid modal states, allowing local motion, path advancement, and control actions to be optimized while accounting for predicted liquid response.</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EAF2F8"/>
            <w:tcBorders>
              <w:top w:val="single" w:sz="10" w:color="4472C4"/>
              <w:left w:val="single" w:sz="10" w:color="4472C4"/>
              <w:bottom w:val="single" w:sz="10" w:color="4472C4"/>
              <w:right w:val="single" w:sz="10" w:color="4472C4"/>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Contribution 2（英文草案）</w:t>
            </w:r>
          </w:p>
          <w:p>
            <w:pPr>
              <w:spacing w:after="0"/>
            </w:pPr>
            <w:r>
              <w:rPr>
                <w:rFonts w:ascii="Noto Sans CJK SC" w:hAnsi="Noto Sans CJK SC" w:eastAsia="Noto Sans CJK SC"/>
                <w:b w:val="0"/>
                <w:i w:val="0"/>
                <w:sz w:val="20"/>
              </w:rPr>
              <w:t>We establish a systematic evaluation with same-framework ablations, representative local-planner baselines, and RGB-based real-robot liquid-height measurements, separating the contribution of explicit slosh prediction from generic control smoothing.</w:t>
            </w:r>
          </w:p>
        </w:tc>
      </w:tr>
    </w:tbl>
    <w:p>
      <w:pPr>
        <w:spacing w:after="0"/>
      </w:pPr>
    </w:p>
    <w:p>
      <w:pPr>
        <w:pStyle w:val="Heading2"/>
        <w:keepNext/>
        <w:spacing w:before="100" w:after="80"/>
      </w:pPr>
      <w:r>
        <w:rPr>
          <w:rFonts w:ascii="Noto Serif CJK SC" w:hAnsi="Noto Serif CJK SC" w:eastAsia="Noto Serif CJK SC"/>
          <w:b/>
          <w:i w:val="0"/>
          <w:color w:val="1F4E79"/>
          <w:sz w:val="26"/>
        </w:rPr>
        <w:t>1.3 RA-L 章节框架与建议页数</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81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章节</w:t>
            </w:r>
          </w:p>
        </w:tc>
        <w:tc>
          <w:tcPr>
            <w:tcW w:type="dxa" w:w="5839"/>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核心内容</w:t>
            </w:r>
          </w:p>
        </w:tc>
        <w:tc>
          <w:tcPr>
            <w:tcW w:type="dxa" w:w="170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建议页数（8 页稿）</w:t>
            </w:r>
          </w:p>
        </w:tc>
      </w:tr>
      <w:tr>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I. Introduction</w:t>
            </w:r>
          </w:p>
        </w:tc>
        <w:tc>
          <w:tcPr>
            <w:tcW w:type="dxa" w:w="5839"/>
            <w:vAlign w:val="center"/>
            <w:tcMar>
              <w:top w:w="80" w:type="dxa"/>
              <w:start w:w="90" w:type="dxa"/>
              <w:bottom w:w="80" w:type="dxa"/>
              <w:end w:w="90" w:type="dxa"/>
            </w:tcMar>
          </w:tcPr>
          <w:p>
            <w:pPr>
              <w:spacing w:after="0"/>
            </w:pPr>
            <w:r>
              <w:rPr>
                <w:rFonts w:ascii="Noto Sans CJK SC" w:hAnsi="Noto Sans CJK SC" w:eastAsia="Noto Sans CJK SC"/>
                <w:b w:val="0"/>
                <w:i w:val="0"/>
                <w:sz w:val="17"/>
              </w:rPr>
              <w:t>问题、缺口、方法概览、两项贡献</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0.8–1.0</w:t>
            </w:r>
          </w:p>
        </w:tc>
      </w:tr>
      <w:tr>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II. Related Work</w:t>
            </w:r>
          </w:p>
        </w:tc>
        <w:tc>
          <w:tcPr>
            <w:tcW w:type="dxa" w:w="5839"/>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液体防晃；移动机器人 local planning/MPCC</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0.7–0.9</w:t>
            </w:r>
          </w:p>
        </w:tc>
      </w:tr>
      <w:tr>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III. Method</w:t>
            </w:r>
          </w:p>
        </w:tc>
        <w:tc>
          <w:tcPr>
            <w:tcW w:type="dxa" w:w="5839"/>
            <w:vAlign w:val="center"/>
            <w:tcMar>
              <w:top w:w="80" w:type="dxa"/>
              <w:start w:w="90" w:type="dxa"/>
              <w:bottom w:w="80" w:type="dxa"/>
              <w:end w:w="90" w:type="dxa"/>
            </w:tcMar>
          </w:tcPr>
          <w:p>
            <w:pPr>
              <w:spacing w:after="0"/>
            </w:pPr>
            <w:r>
              <w:rPr>
                <w:rFonts w:ascii="Noto Sans CJK SC" w:hAnsi="Noto Sans CJK SC" w:eastAsia="Noto Sans CJK SC"/>
                <w:b w:val="0"/>
                <w:i w:val="0"/>
                <w:sz w:val="17"/>
              </w:rPr>
              <w:t>路径进度、alpha-state、slosh 增广、OCP、求解</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2.2–2.6</w:t>
            </w:r>
          </w:p>
        </w:tc>
      </w:tr>
      <w:tr>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IV. Experimental Setup</w:t>
            </w:r>
          </w:p>
        </w:tc>
        <w:tc>
          <w:tcPr>
            <w:tcW w:type="dxa" w:w="5839"/>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平台、变体、baseline、公平协议、指标</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0.8–1.0</w:t>
            </w:r>
          </w:p>
        </w:tc>
      </w:tr>
      <w:tr>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V. Results and Discussion</w:t>
            </w:r>
          </w:p>
        </w:tc>
        <w:tc>
          <w:tcPr>
            <w:tcW w:type="dxa" w:w="5839"/>
            <w:vAlign w:val="center"/>
            <w:tcMar>
              <w:top w:w="80" w:type="dxa"/>
              <w:start w:w="90" w:type="dxa"/>
              <w:bottom w:w="80" w:type="dxa"/>
              <w:end w:w="90" w:type="dxa"/>
            </w:tcMar>
          </w:tcPr>
          <w:p>
            <w:pPr>
              <w:spacing w:after="0"/>
            </w:pPr>
            <w:r>
              <w:rPr>
                <w:rFonts w:ascii="Noto Sans CJK SC" w:hAnsi="Noto Sans CJK SC" w:eastAsia="Noto Sans CJK SC"/>
                <w:b w:val="0"/>
                <w:i w:val="0"/>
                <w:sz w:val="17"/>
              </w:rPr>
              <w:t>内部消融、外部对比、RGB、限制</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2.2–2.6</w:t>
            </w:r>
          </w:p>
        </w:tc>
      </w:tr>
      <w:tr>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VI. Conclusion</w:t>
            </w:r>
          </w:p>
        </w:tc>
        <w:tc>
          <w:tcPr>
            <w:tcW w:type="dxa" w:w="5839"/>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结论和边界</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0.2–0.3</w:t>
            </w:r>
          </w:p>
        </w:tc>
      </w:tr>
      <w:tr>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References</w:t>
            </w:r>
          </w:p>
        </w:tc>
        <w:tc>
          <w:tcPr>
            <w:tcW w:type="dxa" w:w="5839"/>
            <w:vAlign w:val="center"/>
            <w:tcMar>
              <w:top w:w="80" w:type="dxa"/>
              <w:start w:w="90" w:type="dxa"/>
              <w:bottom w:w="80" w:type="dxa"/>
              <w:end w:w="90" w:type="dxa"/>
            </w:tcMar>
          </w:tcPr>
          <w:p>
            <w:pPr>
              <w:spacing w:after="0"/>
            </w:pPr>
            <w:r>
              <w:rPr>
                <w:rFonts w:ascii="Noto Sans CJK SC" w:hAnsi="Noto Sans CJK SC" w:eastAsia="Noto Sans CJK SC"/>
                <w:b w:val="0"/>
                <w:i w:val="0"/>
                <w:sz w:val="17"/>
              </w:rPr>
              <w:t>IEEE 格式</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0.6–0.8</w:t>
            </w:r>
          </w:p>
        </w:tc>
      </w:tr>
    </w:tbl>
    <w:p>
      <w:pPr>
        <w:spacing w:after="0"/>
      </w:pPr>
    </w:p>
    <w:p>
      <w:pPr>
        <w:pStyle w:val="Heading2"/>
        <w:keepNext/>
        <w:spacing w:before="100" w:after="80"/>
      </w:pPr>
      <w:r>
        <w:rPr>
          <w:rFonts w:ascii="Noto Serif CJK SC" w:hAnsi="Noto Serif CJK SC" w:eastAsia="Noto Serif CJK SC"/>
          <w:b/>
          <w:i w:val="0"/>
          <w:color w:val="1F4E79"/>
          <w:sz w:val="26"/>
        </w:rPr>
        <w:t>1.4 建议图表配置</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13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编号</w:t>
            </w:r>
          </w:p>
        </w:tc>
        <w:tc>
          <w:tcPr>
            <w:tcW w:type="dxa" w:w="4535"/>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内容</w:t>
            </w:r>
          </w:p>
        </w:tc>
        <w:tc>
          <w:tcPr>
            <w:tcW w:type="dxa" w:w="379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目的</w:t>
            </w:r>
          </w:p>
        </w:tc>
      </w:tr>
      <w:tr>
        <w:tc>
          <w:tcPr>
            <w:tcW w:type="dxa" w:w="1134"/>
            <w:vAlign w:val="center"/>
            <w:tcMar>
              <w:top w:w="80" w:type="dxa"/>
              <w:start w:w="90" w:type="dxa"/>
              <w:bottom w:w="80" w:type="dxa"/>
              <w:end w:w="90" w:type="dxa"/>
            </w:tcMar>
          </w:tcPr>
          <w:p>
            <w:pPr>
              <w:spacing w:after="0"/>
            </w:pPr>
            <w:r>
              <w:rPr>
                <w:rFonts w:ascii="Noto Sans CJK SC" w:hAnsi="Noto Sans CJK SC" w:eastAsia="Noto Sans CJK SC"/>
                <w:b w:val="0"/>
                <w:i w:val="0"/>
                <w:sz w:val="17"/>
              </w:rPr>
              <w:t>Fig. 1</w:t>
            </w:r>
          </w:p>
        </w:tc>
        <w:tc>
          <w:tcPr>
            <w:tcW w:type="dxa" w:w="4535"/>
            <w:vAlign w:val="center"/>
            <w:tcMar>
              <w:top w:w="80" w:type="dxa"/>
              <w:start w:w="90" w:type="dxa"/>
              <w:bottom w:w="80" w:type="dxa"/>
              <w:end w:w="90" w:type="dxa"/>
            </w:tcMar>
          </w:tcPr>
          <w:p>
            <w:pPr>
              <w:spacing w:after="0"/>
            </w:pPr>
            <w:r>
              <w:rPr>
                <w:rFonts w:ascii="Noto Sans CJK SC" w:hAnsi="Noto Sans CJK SC" w:eastAsia="Noto Sans CJK SC"/>
                <w:b w:val="0"/>
                <w:i w:val="0"/>
                <w:sz w:val="17"/>
              </w:rPr>
              <w:t>系统框图：global path + odom + slosh observer → SPMPC → local trajectory + cmd_vel</w:t>
            </w:r>
          </w:p>
        </w:tc>
        <w:tc>
          <w:tcPr>
            <w:tcW w:type="dxa" w:w="3798"/>
            <w:vAlign w:val="center"/>
            <w:tcMar>
              <w:top w:w="80" w:type="dxa"/>
              <w:start w:w="90" w:type="dxa"/>
              <w:bottom w:w="80" w:type="dxa"/>
              <w:end w:w="90" w:type="dxa"/>
            </w:tcMar>
          </w:tcPr>
          <w:p>
            <w:pPr>
              <w:spacing w:after="0"/>
            </w:pPr>
            <w:r>
              <w:rPr>
                <w:rFonts w:ascii="Noto Sans CJK SC" w:hAnsi="Noto Sans CJK SC" w:eastAsia="Noto Sans CJK SC"/>
                <w:b w:val="0"/>
                <w:i w:val="0"/>
                <w:sz w:val="17"/>
              </w:rPr>
              <w:t>一图说明输入、OCP 和滚动执行</w:t>
            </w:r>
          </w:p>
        </w:tc>
      </w:tr>
      <w:tr>
        <w:tc>
          <w:tcPr>
            <w:tcW w:type="dxa" w:w="113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Fig. 2</w:t>
            </w:r>
          </w:p>
        </w:tc>
        <w:tc>
          <w:tcPr>
            <w:tcW w:type="dxa" w:w="453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机器人—路径进度—液体增广动力学与 cost 结构</w:t>
            </w:r>
          </w:p>
        </w:tc>
        <w:tc>
          <w:tcPr>
            <w:tcW w:type="dxa" w:w="379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解释 state/control/slosh 如何进入同一 OCP</w:t>
            </w:r>
          </w:p>
        </w:tc>
      </w:tr>
      <w:tr>
        <w:tc>
          <w:tcPr>
            <w:tcW w:type="dxa" w:w="1134"/>
            <w:vAlign w:val="center"/>
            <w:tcMar>
              <w:top w:w="80" w:type="dxa"/>
              <w:start w:w="90" w:type="dxa"/>
              <w:bottom w:w="80" w:type="dxa"/>
              <w:end w:w="90" w:type="dxa"/>
            </w:tcMar>
          </w:tcPr>
          <w:p>
            <w:pPr>
              <w:spacing w:after="0"/>
            </w:pPr>
            <w:r>
              <w:rPr>
                <w:rFonts w:ascii="Noto Sans CJK SC" w:hAnsi="Noto Sans CJK SC" w:eastAsia="Noto Sans CJK SC"/>
                <w:b w:val="0"/>
                <w:i w:val="0"/>
                <w:sz w:val="17"/>
              </w:rPr>
              <w:t>Fig. 3</w:t>
            </w:r>
          </w:p>
        </w:tc>
        <w:tc>
          <w:tcPr>
            <w:tcW w:type="dxa" w:w="4535"/>
            <w:vAlign w:val="center"/>
            <w:tcMar>
              <w:top w:w="80" w:type="dxa"/>
              <w:start w:w="90" w:type="dxa"/>
              <w:bottom w:w="80" w:type="dxa"/>
              <w:end w:w="90" w:type="dxa"/>
            </w:tcMar>
          </w:tcPr>
          <w:p>
            <w:pPr>
              <w:spacing w:after="0"/>
            </w:pPr>
            <w:r>
              <w:rPr>
                <w:rFonts w:ascii="Noto Sans CJK SC" w:hAnsi="Noto Sans CJK SC" w:eastAsia="Noto Sans CJK SC"/>
                <w:b w:val="0"/>
                <w:i w:val="0"/>
                <w:sz w:val="17"/>
              </w:rPr>
              <w:t>仿真路径、实物平台与 RGB max-LCR 测量</w:t>
            </w:r>
          </w:p>
        </w:tc>
        <w:tc>
          <w:tcPr>
            <w:tcW w:type="dxa" w:w="3798"/>
            <w:vAlign w:val="center"/>
            <w:tcMar>
              <w:top w:w="80" w:type="dxa"/>
              <w:start w:w="90" w:type="dxa"/>
              <w:bottom w:w="80" w:type="dxa"/>
              <w:end w:w="90" w:type="dxa"/>
            </w:tcMar>
          </w:tcPr>
          <w:p>
            <w:pPr>
              <w:spacing w:after="0"/>
            </w:pPr>
            <w:r>
              <w:rPr>
                <w:rFonts w:ascii="Noto Sans CJK SC" w:hAnsi="Noto Sans CJK SC" w:eastAsia="Noto Sans CJK SC"/>
                <w:b w:val="0"/>
                <w:i w:val="0"/>
                <w:sz w:val="17"/>
              </w:rPr>
              <w:t>统一实验场景和真值来源</w:t>
            </w:r>
          </w:p>
        </w:tc>
      </w:tr>
      <w:tr>
        <w:tc>
          <w:tcPr>
            <w:tcW w:type="dxa" w:w="113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Fig. 4</w:t>
            </w:r>
          </w:p>
        </w:tc>
        <w:tc>
          <w:tcPr>
            <w:tcW w:type="dxa" w:w="453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代表性液面曲线：B_smooth vs B_ours 与 RGB/模型对比</w:t>
            </w:r>
          </w:p>
        </w:tc>
        <w:tc>
          <w:tcPr>
            <w:tcW w:type="dxa" w:w="379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展示持续晃动、相位和模型保真度</w:t>
            </w:r>
          </w:p>
        </w:tc>
      </w:tr>
      <w:tr>
        <w:tc>
          <w:tcPr>
            <w:tcW w:type="dxa" w:w="1134"/>
            <w:vAlign w:val="center"/>
            <w:tcMar>
              <w:top w:w="80" w:type="dxa"/>
              <w:start w:w="90" w:type="dxa"/>
              <w:bottom w:w="80" w:type="dxa"/>
              <w:end w:w="90" w:type="dxa"/>
            </w:tcMar>
          </w:tcPr>
          <w:p>
            <w:pPr>
              <w:spacing w:after="0"/>
            </w:pPr>
            <w:r>
              <w:rPr>
                <w:rFonts w:ascii="Noto Sans CJK SC" w:hAnsi="Noto Sans CJK SC" w:eastAsia="Noto Sans CJK SC"/>
                <w:b w:val="0"/>
                <w:i w:val="0"/>
                <w:sz w:val="17"/>
              </w:rPr>
              <w:t>Table I</w:t>
            </w:r>
          </w:p>
        </w:tc>
        <w:tc>
          <w:tcPr>
            <w:tcW w:type="dxa" w:w="4535"/>
            <w:vAlign w:val="center"/>
            <w:tcMar>
              <w:top w:w="80" w:type="dxa"/>
              <w:start w:w="90" w:type="dxa"/>
              <w:bottom w:w="80" w:type="dxa"/>
              <w:end w:w="90" w:type="dxa"/>
            </w:tcMar>
          </w:tcPr>
          <w:p>
            <w:pPr>
              <w:spacing w:after="0"/>
            </w:pPr>
            <w:r>
              <w:rPr>
                <w:rFonts w:ascii="Noto Sans CJK SC" w:hAnsi="Noto Sans CJK SC" w:eastAsia="Noto Sans CJK SC"/>
                <w:b w:val="0"/>
                <w:i w:val="0"/>
                <w:sz w:val="17"/>
              </w:rPr>
              <w:t>B0/B_slosh/B_smooth/B_ours 内部消融</w:t>
            </w:r>
          </w:p>
        </w:tc>
        <w:tc>
          <w:tcPr>
            <w:tcW w:type="dxa" w:w="3798"/>
            <w:vAlign w:val="center"/>
            <w:tcMar>
              <w:top w:w="80" w:type="dxa"/>
              <w:start w:w="90" w:type="dxa"/>
              <w:bottom w:w="80" w:type="dxa"/>
              <w:end w:w="90" w:type="dxa"/>
            </w:tcMar>
          </w:tcPr>
          <w:p>
            <w:pPr>
              <w:spacing w:after="0"/>
            </w:pPr>
            <w:r>
              <w:rPr>
                <w:rFonts w:ascii="Noto Sans CJK SC" w:hAnsi="Noto Sans CJK SC" w:eastAsia="Noto Sans CJK SC"/>
                <w:b w:val="0"/>
                <w:i w:val="0"/>
                <w:sz w:val="17"/>
              </w:rPr>
              <w:t>支撑核心因果 claim</w:t>
            </w:r>
          </w:p>
        </w:tc>
      </w:tr>
      <w:tr>
        <w:tc>
          <w:tcPr>
            <w:tcW w:type="dxa" w:w="113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Table II</w:t>
            </w:r>
          </w:p>
        </w:tc>
        <w:tc>
          <w:tcPr>
            <w:tcW w:type="dxa" w:w="453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DWA/TEB/LT-DWA(or MPC)/B_ours</w:t>
            </w:r>
          </w:p>
        </w:tc>
        <w:tc>
          <w:tcPr>
            <w:tcW w:type="dxa" w:w="379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支撑 local-planner 竞争力</w:t>
            </w:r>
          </w:p>
        </w:tc>
      </w:tr>
    </w:tbl>
    <w:p>
      <w:pPr>
        <w:spacing w:after="0"/>
      </w:pPr>
    </w:p>
    <w:p>
      <w:pPr>
        <w:pStyle w:val="Heading2"/>
        <w:keepNext/>
        <w:spacing w:before="100" w:after="80"/>
      </w:pPr>
      <w:r>
        <w:rPr>
          <w:rFonts w:ascii="Noto Serif CJK SC" w:hAnsi="Noto Serif CJK SC" w:eastAsia="Noto Serif CJK SC"/>
          <w:b/>
          <w:i w:val="0"/>
          <w:color w:val="1F4E79"/>
          <w:sz w:val="26"/>
        </w:rPr>
        <w:t>1.5 Claim–Evidence 矩阵</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2665"/>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论文 Claim</w:t>
            </w:r>
          </w:p>
        </w:tc>
        <w:tc>
          <w:tcPr>
            <w:tcW w:type="dxa" w:w="4025"/>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必要证据</w:t>
            </w:r>
          </w:p>
        </w:tc>
        <w:tc>
          <w:tcPr>
            <w:tcW w:type="dxa" w:w="277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不应替代它的证据</w:t>
            </w:r>
          </w:p>
        </w:tc>
      </w:tr>
      <w:tr>
        <w:tc>
          <w:tcPr>
            <w:tcW w:type="dxa" w:w="2665"/>
            <w:vAlign w:val="center"/>
            <w:tcMar>
              <w:top w:w="80" w:type="dxa"/>
              <w:start w:w="90" w:type="dxa"/>
              <w:bottom w:w="80" w:type="dxa"/>
              <w:end w:w="90" w:type="dxa"/>
            </w:tcMar>
          </w:tcPr>
          <w:p>
            <w:pPr>
              <w:spacing w:after="0"/>
            </w:pPr>
            <w:r>
              <w:rPr>
                <w:rFonts w:ascii="Noto Sans CJK SC" w:hAnsi="Noto Sans CJK SC" w:eastAsia="Noto Sans CJK SC"/>
                <w:b w:val="0"/>
                <w:i w:val="0"/>
                <w:sz w:val="17"/>
              </w:rPr>
              <w:t>slosh-aware 在 smooth 之外有贡献</w:t>
            </w:r>
          </w:p>
        </w:tc>
        <w:tc>
          <w:tcPr>
            <w:tcW w:type="dxa" w:w="4025"/>
            <w:vAlign w:val="center"/>
            <w:tcMar>
              <w:top w:w="80" w:type="dxa"/>
              <w:start w:w="90" w:type="dxa"/>
              <w:bottom w:w="80" w:type="dxa"/>
              <w:end w:w="90" w:type="dxa"/>
            </w:tcMar>
          </w:tcPr>
          <w:p>
            <w:pPr>
              <w:spacing w:after="0"/>
            </w:pPr>
            <w:r>
              <w:rPr>
                <w:rFonts w:ascii="Noto Sans CJK SC" w:hAnsi="Noto Sans CJK SC" w:eastAsia="Noto Sans CJK SC"/>
                <w:b w:val="0"/>
                <w:i w:val="0"/>
                <w:sz w:val="17"/>
              </w:rPr>
              <w:t>B_ours vs B_smooth，速度/时间匹配，RGB 或统一 observer</w:t>
            </w:r>
          </w:p>
        </w:tc>
        <w:tc>
          <w:tcPr>
            <w:tcW w:type="dxa" w:w="2778"/>
            <w:vAlign w:val="center"/>
            <w:tcMar>
              <w:top w:w="80" w:type="dxa"/>
              <w:start w:w="90" w:type="dxa"/>
              <w:bottom w:w="80" w:type="dxa"/>
              <w:end w:w="90" w:type="dxa"/>
            </w:tcMar>
          </w:tcPr>
          <w:p>
            <w:pPr>
              <w:spacing w:after="0"/>
            </w:pPr>
            <w:r>
              <w:rPr>
                <w:rFonts w:ascii="Noto Sans CJK SC" w:hAnsi="Noto Sans CJK SC" w:eastAsia="Noto Sans CJK SC"/>
                <w:b w:val="0"/>
                <w:i w:val="0"/>
                <w:sz w:val="17"/>
              </w:rPr>
              <w:t>只看 B_slosh vs B0</w:t>
            </w:r>
          </w:p>
        </w:tc>
      </w:tr>
      <w:tr>
        <w:tc>
          <w:tcPr>
            <w:tcW w:type="dxa" w:w="266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smooth shaping 对最终方法必要</w:t>
            </w:r>
          </w:p>
        </w:tc>
        <w:tc>
          <w:tcPr>
            <w:tcW w:type="dxa" w:w="402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B_ours vs B_slosh，比较速度调制与 |dω/dt|</w:t>
            </w:r>
          </w:p>
        </w:tc>
        <w:tc>
          <w:tcPr>
            <w:tcW w:type="dxa" w:w="277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仅比较 w_slosh 大小</w:t>
            </w:r>
          </w:p>
        </w:tc>
      </w:tr>
      <w:tr>
        <w:tc>
          <w:tcPr>
            <w:tcW w:type="dxa" w:w="2665"/>
            <w:vAlign w:val="center"/>
            <w:tcMar>
              <w:top w:w="80" w:type="dxa"/>
              <w:start w:w="90" w:type="dxa"/>
              <w:bottom w:w="80" w:type="dxa"/>
              <w:end w:w="90" w:type="dxa"/>
            </w:tcMar>
          </w:tcPr>
          <w:p>
            <w:pPr>
              <w:spacing w:after="0"/>
            </w:pPr>
            <w:r>
              <w:rPr>
                <w:rFonts w:ascii="Noto Sans CJK SC" w:hAnsi="Noto Sans CJK SC" w:eastAsia="Noto Sans CJK SC"/>
                <w:b w:val="0"/>
                <w:i w:val="0"/>
                <w:sz w:val="17"/>
              </w:rPr>
              <w:t>SPMPC 是同层 local planner</w:t>
            </w:r>
          </w:p>
        </w:tc>
        <w:tc>
          <w:tcPr>
            <w:tcW w:type="dxa" w:w="4025"/>
            <w:vAlign w:val="center"/>
            <w:tcMar>
              <w:top w:w="80" w:type="dxa"/>
              <w:start w:w="90" w:type="dxa"/>
              <w:bottom w:w="80" w:type="dxa"/>
              <w:end w:w="90" w:type="dxa"/>
            </w:tcMar>
          </w:tcPr>
          <w:p>
            <w:pPr>
              <w:spacing w:after="0"/>
            </w:pPr>
            <w:r>
              <w:rPr>
                <w:rFonts w:ascii="Noto Sans CJK SC" w:hAnsi="Noto Sans CJK SC" w:eastAsia="Noto Sans CJK SC"/>
                <w:b w:val="0"/>
                <w:i w:val="0"/>
                <w:sz w:val="17"/>
              </w:rPr>
              <w:t>相同 global path、limits、goal tolerance 下与 DWA/TEB/LT-DWA/MPC 比较</w:t>
            </w:r>
          </w:p>
        </w:tc>
        <w:tc>
          <w:tcPr>
            <w:tcW w:type="dxa" w:w="2778"/>
            <w:vAlign w:val="center"/>
            <w:tcMar>
              <w:top w:w="80" w:type="dxa"/>
              <w:start w:w="90" w:type="dxa"/>
              <w:bottom w:w="80" w:type="dxa"/>
              <w:end w:w="90" w:type="dxa"/>
            </w:tcMar>
          </w:tcPr>
          <w:p>
            <w:pPr>
              <w:spacing w:after="0"/>
            </w:pPr>
            <w:r>
              <w:rPr>
                <w:rFonts w:ascii="Noto Sans CJK SC" w:hAnsi="Noto Sans CJK SC" w:eastAsia="Noto Sans CJK SC"/>
                <w:b w:val="0"/>
                <w:i w:val="0"/>
                <w:sz w:val="17"/>
              </w:rPr>
              <w:t>只和旧 scout_local_planner 比</w:t>
            </w:r>
          </w:p>
        </w:tc>
      </w:tr>
      <w:tr>
        <w:tc>
          <w:tcPr>
            <w:tcW w:type="dxa" w:w="266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优势不是单纯更慢</w:t>
            </w:r>
          </w:p>
        </w:tc>
        <w:tc>
          <w:tcPr>
            <w:tcW w:type="dxa" w:w="4025"/>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time-matched 或 mean-speed-matched 对比</w:t>
            </w:r>
          </w:p>
        </w:tc>
        <w:tc>
          <w:tcPr>
            <w:tcW w:type="dxa" w:w="277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只对齐 v_max</w:t>
            </w:r>
          </w:p>
        </w:tc>
      </w:tr>
      <w:tr>
        <w:tc>
          <w:tcPr>
            <w:tcW w:type="dxa" w:w="2665"/>
            <w:vAlign w:val="center"/>
            <w:tcMar>
              <w:top w:w="80" w:type="dxa"/>
              <w:start w:w="90" w:type="dxa"/>
              <w:bottom w:w="80" w:type="dxa"/>
              <w:end w:w="90" w:type="dxa"/>
            </w:tcMar>
          </w:tcPr>
          <w:p>
            <w:pPr>
              <w:spacing w:after="0"/>
            </w:pPr>
            <w:r>
              <w:rPr>
                <w:rFonts w:ascii="Noto Sans CJK SC" w:hAnsi="Noto Sans CJK SC" w:eastAsia="Noto Sans CJK SC"/>
                <w:b w:val="0"/>
                <w:i w:val="0"/>
                <w:sz w:val="17"/>
              </w:rPr>
              <w:t>模型 proxy 对实物有意义</w:t>
            </w:r>
          </w:p>
        </w:tc>
        <w:tc>
          <w:tcPr>
            <w:tcW w:type="dxa" w:w="4025"/>
            <w:vAlign w:val="center"/>
            <w:tcMar>
              <w:top w:w="80" w:type="dxa"/>
              <w:start w:w="90" w:type="dxa"/>
              <w:bottom w:w="80" w:type="dxa"/>
              <w:end w:w="90" w:type="dxa"/>
            </w:tcMar>
          </w:tcPr>
          <w:p>
            <w:pPr>
              <w:spacing w:after="0"/>
            </w:pPr>
            <w:r>
              <w:rPr>
                <w:rFonts w:ascii="Noto Sans CJK SC" w:hAnsi="Noto Sans CJK SC" w:eastAsia="Noto Sans CJK SC"/>
                <w:b w:val="0"/>
                <w:i w:val="0"/>
                <w:sz w:val="17"/>
              </w:rPr>
              <w:t>/spmpc/slosh_height 与 RGB 的 p95/peak/RMS 保真度分析</w:t>
            </w:r>
          </w:p>
        </w:tc>
        <w:tc>
          <w:tcPr>
            <w:tcW w:type="dxa" w:w="2778"/>
            <w:vAlign w:val="center"/>
            <w:tcMar>
              <w:top w:w="80" w:type="dxa"/>
              <w:start w:w="90" w:type="dxa"/>
              <w:bottom w:w="80" w:type="dxa"/>
              <w:end w:w="90" w:type="dxa"/>
            </w:tcMar>
          </w:tcPr>
          <w:p>
            <w:pPr>
              <w:spacing w:after="0"/>
            </w:pPr>
            <w:r>
              <w:rPr>
                <w:rFonts w:ascii="Noto Sans CJK SC" w:hAnsi="Noto Sans CJK SC" w:eastAsia="Noto Sans CJK SC"/>
                <w:b w:val="0"/>
                <w:i w:val="0"/>
                <w:sz w:val="17"/>
              </w:rPr>
              <w:t>模型自己评价自己</w:t>
            </w:r>
          </w:p>
        </w:tc>
      </w:tr>
    </w:tbl>
    <w:p>
      <w:pPr>
        <w:spacing w:after="0"/>
      </w:pPr>
    </w:p>
    <w:p>
      <w:pPr>
        <w:pStyle w:val="Heading1"/>
        <w:keepNext/>
        <w:spacing w:before="160" w:after="80"/>
      </w:pPr>
      <w:r>
        <w:rPr>
          <w:rFonts w:ascii="Noto Serif CJK SC" w:hAnsi="Noto Serif CJK SC" w:eastAsia="Noto Serif CJK SC"/>
          <w:b/>
          <w:i w:val="0"/>
          <w:color w:val="1F4E79"/>
          <w:sz w:val="30"/>
        </w:rPr>
        <w:t>2. Baseline 选取：B0 还是 LT-DWA / TEB / DWA？</w:t>
      </w:r>
    </w:p>
    <w:p>
      <w:pPr>
        <w:keepNext w:val="0"/>
        <w:spacing w:before="0" w:after="80" w:line="283" w:lineRule="auto"/>
      </w:pPr>
      <w:r>
        <w:rPr>
          <w:rFonts w:ascii="Noto Sans CJK SC" w:hAnsi="Noto Sans CJK SC" w:eastAsia="Noto Sans CJK SC"/>
          <w:b w:val="0"/>
          <w:i w:val="0"/>
          <w:sz w:val="21"/>
        </w:rPr>
        <w:t>答案是：都需要，但角色不同。B0 是内部基线；DWA、TEB、LT-DWA 和 mpc_local_planner 是外部同层基线。</w:t>
      </w:r>
    </w:p>
    <w:p>
      <w:pPr>
        <w:pStyle w:val="Heading2"/>
        <w:keepNext/>
        <w:spacing w:before="100" w:after="80"/>
      </w:pPr>
      <w:r>
        <w:rPr>
          <w:rFonts w:ascii="Noto Serif CJK SC" w:hAnsi="Noto Serif CJK SC" w:eastAsia="Noto Serif CJK SC"/>
          <w:b/>
          <w:i w:val="0"/>
          <w:color w:val="1F4E79"/>
          <w:sz w:val="26"/>
        </w:rPr>
        <w:t>2.1 内部消融基线</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136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方法</w:t>
            </w:r>
          </w:p>
        </w:tc>
        <w:tc>
          <w:tcPr>
            <w:tcW w:type="dxa" w:w="238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slosh dynamics/cost</w:t>
            </w:r>
          </w:p>
        </w:tc>
        <w:tc>
          <w:tcPr>
            <w:tcW w:type="dxa" w:w="170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smooth priority</w:t>
            </w:r>
          </w:p>
        </w:tc>
        <w:tc>
          <w:tcPr>
            <w:tcW w:type="dxa" w:w="3969"/>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论文角色</w:t>
            </w:r>
          </w:p>
        </w:tc>
      </w:tr>
      <w:tr>
        <w:tc>
          <w:tcPr>
            <w:tcW w:type="dxa" w:w="1361"/>
            <w:vAlign w:val="center"/>
            <w:tcMar>
              <w:top w:w="80" w:type="dxa"/>
              <w:start w:w="90" w:type="dxa"/>
              <w:bottom w:w="80" w:type="dxa"/>
              <w:end w:w="90" w:type="dxa"/>
            </w:tcMar>
          </w:tcPr>
          <w:p>
            <w:pPr>
              <w:spacing w:after="0"/>
            </w:pPr>
            <w:r>
              <w:rPr>
                <w:rFonts w:ascii="Noto Sans CJK SC" w:hAnsi="Noto Sans CJK SC" w:eastAsia="Noto Sans CJK SC"/>
                <w:b w:val="0"/>
                <w:i w:val="0"/>
                <w:sz w:val="17"/>
              </w:rPr>
              <w:t>B0</w:t>
            </w:r>
          </w:p>
        </w:tc>
        <w:tc>
          <w:tcPr>
            <w:tcW w:type="dxa" w:w="2381"/>
            <w:vAlign w:val="center"/>
            <w:tcMar>
              <w:top w:w="80" w:type="dxa"/>
              <w:start w:w="90" w:type="dxa"/>
              <w:bottom w:w="80" w:type="dxa"/>
              <w:end w:w="90" w:type="dxa"/>
            </w:tcMar>
          </w:tcPr>
          <w:p>
            <w:pPr>
              <w:spacing w:after="0"/>
            </w:pPr>
            <w:r>
              <w:rPr>
                <w:rFonts w:ascii="Noto Sans CJK SC" w:hAnsi="Noto Sans CJK SC" w:eastAsia="Noto Sans CJK SC"/>
                <w:b w:val="0"/>
                <w:i w:val="0"/>
                <w:sz w:val="17"/>
              </w:rPr>
              <w:t>否</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弱</w:t>
            </w:r>
          </w:p>
        </w:tc>
        <w:tc>
          <w:tcPr>
            <w:tcW w:type="dxa" w:w="3969"/>
            <w:vAlign w:val="center"/>
            <w:tcMar>
              <w:top w:w="80" w:type="dxa"/>
              <w:start w:w="90" w:type="dxa"/>
              <w:bottom w:w="80" w:type="dxa"/>
              <w:end w:w="90" w:type="dxa"/>
            </w:tcMar>
          </w:tcPr>
          <w:p>
            <w:pPr>
              <w:spacing w:after="0"/>
            </w:pPr>
            <w:r>
              <w:rPr>
                <w:rFonts w:ascii="Noto Sans CJK SC" w:hAnsi="Noto Sans CJK SC" w:eastAsia="Noto Sans CJK SC"/>
                <w:b w:val="0"/>
                <w:i w:val="0"/>
                <w:sz w:val="17"/>
              </w:rPr>
              <w:t>非 slosh alpha-state MPCC；控制方法的同框架基准</w:t>
            </w:r>
          </w:p>
        </w:tc>
      </w:tr>
      <w:tr>
        <w:tc>
          <w:tcPr>
            <w:tcW w:type="dxa" w:w="136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B_slosh</w:t>
            </w:r>
          </w:p>
        </w:tc>
        <w:tc>
          <w:tcPr>
            <w:tcW w:type="dxa" w:w="238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是</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弱</w:t>
            </w:r>
          </w:p>
        </w:tc>
        <w:tc>
          <w:tcPr>
            <w:tcW w:type="dxa" w:w="3969"/>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slosh-cost-only；检验显式液体预测单独作用及其局限</w:t>
            </w:r>
          </w:p>
        </w:tc>
      </w:tr>
      <w:tr>
        <w:tc>
          <w:tcPr>
            <w:tcW w:type="dxa" w:w="1361"/>
            <w:vAlign w:val="center"/>
            <w:tcMar>
              <w:top w:w="80" w:type="dxa"/>
              <w:start w:w="90" w:type="dxa"/>
              <w:bottom w:w="80" w:type="dxa"/>
              <w:end w:w="90" w:type="dxa"/>
            </w:tcMar>
          </w:tcPr>
          <w:p>
            <w:pPr>
              <w:spacing w:after="0"/>
            </w:pPr>
            <w:r>
              <w:rPr>
                <w:rFonts w:ascii="Noto Sans CJK SC" w:hAnsi="Noto Sans CJK SC" w:eastAsia="Noto Sans CJK SC"/>
                <w:b w:val="0"/>
                <w:i w:val="0"/>
                <w:sz w:val="17"/>
              </w:rPr>
              <w:t>B_smooth</w:t>
            </w:r>
          </w:p>
        </w:tc>
        <w:tc>
          <w:tcPr>
            <w:tcW w:type="dxa" w:w="2381"/>
            <w:vAlign w:val="center"/>
            <w:tcMar>
              <w:top w:w="80" w:type="dxa"/>
              <w:start w:w="90" w:type="dxa"/>
              <w:bottom w:w="80" w:type="dxa"/>
              <w:end w:w="90" w:type="dxa"/>
            </w:tcMar>
          </w:tcPr>
          <w:p>
            <w:pPr>
              <w:spacing w:after="0"/>
            </w:pPr>
            <w:r>
              <w:rPr>
                <w:rFonts w:ascii="Noto Sans CJK SC" w:hAnsi="Noto Sans CJK SC" w:eastAsia="Noto Sans CJK SC"/>
                <w:b w:val="0"/>
                <w:i w:val="0"/>
                <w:sz w:val="17"/>
              </w:rPr>
              <w:t>否</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强</w:t>
            </w:r>
          </w:p>
        </w:tc>
        <w:tc>
          <w:tcPr>
            <w:tcW w:type="dxa" w:w="3969"/>
            <w:vAlign w:val="center"/>
            <w:tcMar>
              <w:top w:w="80" w:type="dxa"/>
              <w:start w:w="90" w:type="dxa"/>
              <w:bottom w:w="80" w:type="dxa"/>
              <w:end w:w="90" w:type="dxa"/>
            </w:tcMar>
          </w:tcPr>
          <w:p>
            <w:pPr>
              <w:spacing w:after="0"/>
            </w:pPr>
            <w:r>
              <w:rPr>
                <w:rFonts w:ascii="Noto Sans CJK SC" w:hAnsi="Noto Sans CJK SC" w:eastAsia="Noto Sans CJK SC"/>
                <w:b w:val="0"/>
                <w:i w:val="0"/>
                <w:sz w:val="17"/>
              </w:rPr>
              <w:t>smooth-only；排除“效果只是更平滑”</w:t>
            </w:r>
          </w:p>
        </w:tc>
      </w:tr>
      <w:tr>
        <w:tc>
          <w:tcPr>
            <w:tcW w:type="dxa" w:w="136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B_ours</w:t>
            </w:r>
          </w:p>
        </w:tc>
        <w:tc>
          <w:tcPr>
            <w:tcW w:type="dxa" w:w="238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是</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强</w:t>
            </w:r>
          </w:p>
        </w:tc>
        <w:tc>
          <w:tcPr>
            <w:tcW w:type="dxa" w:w="3969"/>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最终方法：slosh-aware + smooth shaping</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E2F0D9"/>
            <w:tcBorders>
              <w:top w:val="single" w:sz="10" w:color="70AD47"/>
              <w:left w:val="single" w:sz="10" w:color="70AD47"/>
              <w:bottom w:val="single" w:sz="10" w:color="70AD47"/>
              <w:right w:val="single" w:sz="10" w:color="70AD47"/>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最重要的消融逻辑</w:t>
            </w:r>
          </w:p>
          <w:p>
            <w:pPr>
              <w:spacing w:after="0"/>
            </w:pPr>
            <w:r>
              <w:rPr>
                <w:rFonts w:ascii="Noto Sans CJK SC" w:hAnsi="Noto Sans CJK SC" w:eastAsia="Noto Sans CJK SC"/>
                <w:b w:val="0"/>
                <w:i w:val="0"/>
                <w:sz w:val="20"/>
              </w:rPr>
              <w:t>B0 不是“外部普通 MPC”，而是关闭 slosh 的同一个 alpha-state MPCC。B_ours vs B_smooth 隔离 slosh-aware 的额外贡献；B_ours vs B_slosh 隔离 smooth shaping 的必要性。</w:t>
            </w:r>
          </w:p>
        </w:tc>
      </w:tr>
    </w:tbl>
    <w:p>
      <w:pPr>
        <w:spacing w:after="0"/>
      </w:pPr>
    </w:p>
    <w:p>
      <w:pPr>
        <w:pStyle w:val="Heading2"/>
        <w:keepNext/>
        <w:spacing w:before="100" w:after="80"/>
      </w:pPr>
      <w:r>
        <w:rPr>
          <w:rFonts w:ascii="Noto Serif CJK SC" w:hAnsi="Noto Serif CJK SC" w:eastAsia="Noto Serif CJK SC"/>
          <w:b/>
          <w:i w:val="0"/>
          <w:color w:val="1F4E79"/>
          <w:sz w:val="26"/>
        </w:rPr>
        <w:t>2.2 外部同层 local-planner baseline</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1757"/>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方法</w:t>
            </w:r>
          </w:p>
        </w:tc>
        <w:tc>
          <w:tcPr>
            <w:tcW w:type="dxa" w:w="226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代表类别</w:t>
            </w:r>
          </w:p>
        </w:tc>
        <w:tc>
          <w:tcPr>
            <w:tcW w:type="dxa" w:w="181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建议</w:t>
            </w:r>
          </w:p>
        </w:tc>
        <w:tc>
          <w:tcPr>
            <w:tcW w:type="dxa" w:w="362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理由与边界</w:t>
            </w:r>
          </w:p>
        </w:tc>
      </w:tr>
      <w:tr>
        <w:tc>
          <w:tcPr>
            <w:tcW w:type="dxa" w:w="1757"/>
            <w:vAlign w:val="center"/>
            <w:tcMar>
              <w:top w:w="80" w:type="dxa"/>
              <w:start w:w="90" w:type="dxa"/>
              <w:bottom w:w="80" w:type="dxa"/>
              <w:end w:w="90" w:type="dxa"/>
            </w:tcMar>
          </w:tcPr>
          <w:p>
            <w:pPr>
              <w:spacing w:after="0"/>
            </w:pPr>
            <w:r>
              <w:rPr>
                <w:rFonts w:ascii="Noto Sans CJK SC" w:hAnsi="Noto Sans CJK SC" w:eastAsia="Noto Sans CJK SC"/>
                <w:b w:val="0"/>
                <w:i w:val="0"/>
                <w:sz w:val="17"/>
              </w:rPr>
              <w:t>DWA</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7"/>
              </w:rPr>
              <w:t>速度空间采样</w:t>
            </w:r>
          </w:p>
        </w:tc>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必须</w:t>
            </w:r>
          </w:p>
        </w:tc>
        <w:tc>
          <w:tcPr>
            <w:tcW w:type="dxa" w:w="3628"/>
            <w:vAlign w:val="center"/>
            <w:tcMar>
              <w:top w:w="80" w:type="dxa"/>
              <w:start w:w="90" w:type="dxa"/>
              <w:bottom w:w="80" w:type="dxa"/>
              <w:end w:w="90" w:type="dxa"/>
            </w:tcMar>
          </w:tcPr>
          <w:p>
            <w:pPr>
              <w:spacing w:after="0"/>
            </w:pPr>
            <w:r>
              <w:rPr>
                <w:rFonts w:ascii="Noto Sans CJK SC" w:hAnsi="Noto Sans CJK SC" w:eastAsia="Noto Sans CJK SC"/>
                <w:b w:val="0"/>
                <w:i w:val="0"/>
                <w:sz w:val="17"/>
              </w:rPr>
              <w:t>ROS1 成熟经典基线；代表 reactive sampling local planner。</w:t>
            </w:r>
          </w:p>
        </w:tc>
      </w:tr>
      <w:tr>
        <w:tc>
          <w:tcPr>
            <w:tcW w:type="dxa" w:w="175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TEB</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优化式局部轨迹</w:t>
            </w:r>
          </w:p>
        </w:tc>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必须</w:t>
            </w:r>
          </w:p>
        </w:tc>
        <w:tc>
          <w:tcPr>
            <w:tcW w:type="dxa" w:w="362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代表 timed trajectory optimization；工程读者熟悉。</w:t>
            </w:r>
          </w:p>
        </w:tc>
      </w:tr>
      <w:tr>
        <w:tc>
          <w:tcPr>
            <w:tcW w:type="dxa" w:w="1757"/>
            <w:vAlign w:val="center"/>
            <w:tcMar>
              <w:top w:w="80" w:type="dxa"/>
              <w:start w:w="90" w:type="dxa"/>
              <w:bottom w:w="80" w:type="dxa"/>
              <w:end w:w="90" w:type="dxa"/>
            </w:tcMar>
          </w:tcPr>
          <w:p>
            <w:pPr>
              <w:spacing w:after="0"/>
            </w:pPr>
            <w:r>
              <w:rPr>
                <w:rFonts w:ascii="Noto Sans CJK SC" w:hAnsi="Noto Sans CJK SC" w:eastAsia="Noto Sans CJK SC"/>
                <w:b w:val="0"/>
                <w:i w:val="0"/>
                <w:sz w:val="17"/>
              </w:rPr>
              <w:t>官方 LT-DWA</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7"/>
              </w:rPr>
              <w:t>现代长视域采样 + 图优化</w:t>
            </w:r>
          </w:p>
        </w:tc>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通过 Gate 后主表</w:t>
            </w:r>
          </w:p>
        </w:tc>
        <w:tc>
          <w:tcPr>
            <w:tcW w:type="dxa" w:w="3628"/>
            <w:vAlign w:val="center"/>
            <w:tcMar>
              <w:top w:w="80" w:type="dxa"/>
              <w:start w:w="90" w:type="dxa"/>
              <w:bottom w:w="80" w:type="dxa"/>
              <w:end w:w="90" w:type="dxa"/>
            </w:tcMar>
          </w:tcPr>
          <w:p>
            <w:pPr>
              <w:spacing w:after="0"/>
            </w:pPr>
            <w:r>
              <w:rPr>
                <w:rFonts w:ascii="Noto Sans CJK SC" w:hAnsi="Noto Sans CJK SC" w:eastAsia="Noto Sans CJK SC"/>
                <w:b w:val="0"/>
                <w:i w:val="0"/>
                <w:sz w:val="17"/>
              </w:rPr>
              <w:t>更现代，但核心优势在静态/人群环境；fixed-path 跟踪不保证优于 DWA。</w:t>
            </w:r>
          </w:p>
        </w:tc>
      </w:tr>
      <w:tr>
        <w:tc>
          <w:tcPr>
            <w:tcW w:type="dxa" w:w="175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mpc_local_planner</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普通 NMPC local planner</w:t>
            </w:r>
          </w:p>
        </w:tc>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强备选/可替代 LT-DWA</w:t>
            </w:r>
          </w:p>
        </w:tc>
        <w:tc>
          <w:tcPr>
            <w:tcW w:type="dxa" w:w="362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与 SPMPC 方法层级和预测控制结构最接近，ROS1/CPU 友好。</w:t>
            </w:r>
          </w:p>
        </w:tc>
      </w:tr>
    </w:tbl>
    <w:p>
      <w:pPr>
        <w:spacing w:after="0"/>
      </w:pPr>
    </w:p>
    <w:p>
      <w:pPr>
        <w:pStyle w:val="Heading2"/>
        <w:keepNext/>
        <w:spacing w:before="100" w:after="80"/>
      </w:pPr>
      <w:r>
        <w:rPr>
          <w:rFonts w:ascii="Noto Serif CJK SC" w:hAnsi="Noto Serif CJK SC" w:eastAsia="Noto Serif CJK SC"/>
          <w:b/>
          <w:i w:val="0"/>
          <w:color w:val="1F4E79"/>
          <w:sz w:val="26"/>
        </w:rPr>
        <w:t>2.3 液体防晃 baseline 应分表</w:t>
      </w:r>
    </w:p>
    <w:p>
      <w:pPr>
        <w:keepNext w:val="0"/>
        <w:spacing w:before="0" w:after="80" w:line="283" w:lineRule="auto"/>
      </w:pPr>
      <w:r>
        <w:rPr>
          <w:rFonts w:ascii="Noto Sans CJK SC" w:hAnsi="Noto Sans CJK SC" w:eastAsia="Noto Sans CJK SC"/>
          <w:b w:val="0"/>
          <w:i w:val="0"/>
          <w:sz w:val="21"/>
        </w:rPr>
        <w:t>Hamaguchi 和 Lim 不是与 DWA/TEB 完全同层的在线 local planner，因此不应与 DWA、TEB、LT-DWA 混成一个“总排名”。建议建立独立的 anti-slosh motion-generation 表。</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1757"/>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方法</w:t>
            </w:r>
          </w:p>
        </w:tc>
        <w:tc>
          <w:tcPr>
            <w:tcW w:type="dxa" w:w="3572"/>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实现口径</w:t>
            </w:r>
          </w:p>
        </w:tc>
        <w:tc>
          <w:tcPr>
            <w:tcW w:type="dxa" w:w="238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用途</w:t>
            </w:r>
          </w:p>
        </w:tc>
        <w:tc>
          <w:tcPr>
            <w:tcW w:type="dxa" w:w="181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命名边界</w:t>
            </w:r>
          </w:p>
        </w:tc>
      </w:tr>
      <w:tr>
        <w:tc>
          <w:tcPr>
            <w:tcW w:type="dxa" w:w="1757"/>
            <w:vAlign w:val="center"/>
            <w:tcMar>
              <w:top w:w="80" w:type="dxa"/>
              <w:start w:w="90" w:type="dxa"/>
              <w:bottom w:w="80" w:type="dxa"/>
              <w:end w:w="90" w:type="dxa"/>
            </w:tcMar>
          </w:tcPr>
          <w:p>
            <w:pPr>
              <w:spacing w:after="0"/>
            </w:pPr>
            <w:r>
              <w:rPr>
                <w:rFonts w:ascii="Noto Sans CJK SC" w:hAnsi="Noto Sans CJK SC" w:eastAsia="Noto Sans CJK SC"/>
                <w:b w:val="0"/>
                <w:i w:val="0"/>
                <w:sz w:val="17"/>
              </w:rPr>
              <w:t>Hamaguchi-inspired</w:t>
            </w:r>
          </w:p>
        </w:tc>
        <w:tc>
          <w:tcPr>
            <w:tcW w:type="dxa" w:w="3572"/>
            <w:vAlign w:val="center"/>
            <w:tcMar>
              <w:top w:w="80" w:type="dxa"/>
              <w:start w:w="90" w:type="dxa"/>
              <w:bottom w:w="80" w:type="dxa"/>
              <w:end w:w="90" w:type="dxa"/>
            </w:tcMar>
          </w:tcPr>
          <w:p>
            <w:pPr>
              <w:spacing w:after="0"/>
            </w:pPr>
            <w:r>
              <w:rPr>
                <w:rFonts w:ascii="Noto Sans CJK SC" w:hAnsi="Noto Sans CJK SC" w:eastAsia="Noto Sans CJK SC"/>
                <w:b w:val="0"/>
                <w:i w:val="0"/>
                <w:sz w:val="17"/>
              </w:rPr>
              <w:t>固定路径 + input-shaped 加速度/速度 profile + 统一 tracker</w:t>
            </w:r>
          </w:p>
        </w:tc>
        <w:tc>
          <w:tcPr>
            <w:tcW w:type="dxa" w:w="2381"/>
            <w:vAlign w:val="center"/>
            <w:tcMar>
              <w:top w:w="80" w:type="dxa"/>
              <w:start w:w="90" w:type="dxa"/>
              <w:bottom w:w="80" w:type="dxa"/>
              <w:end w:w="90" w:type="dxa"/>
            </w:tcMar>
          </w:tcPr>
          <w:p>
            <w:pPr>
              <w:spacing w:after="0"/>
            </w:pPr>
            <w:r>
              <w:rPr>
                <w:rFonts w:ascii="Noto Sans CJK SC" w:hAnsi="Noto Sans CJK SC" w:eastAsia="Noto Sans CJK SC"/>
                <w:b w:val="0"/>
                <w:i w:val="0"/>
                <w:sz w:val="17"/>
              </w:rPr>
              <w:t>经典轮式移动机器人防晃参考</w:t>
            </w:r>
          </w:p>
        </w:tc>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不能称为论文完整复现</w:t>
            </w:r>
          </w:p>
        </w:tc>
      </w:tr>
      <w:tr>
        <w:tc>
          <w:tcPr>
            <w:tcW w:type="dxa" w:w="175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Lim-inspired</w:t>
            </w:r>
          </w:p>
        </w:tc>
        <w:tc>
          <w:tcPr>
            <w:tcW w:type="dxa" w:w="3572"/>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固定路径上的离线 pendulum-constrained retiming，或完整 2D trajectory optimization</w:t>
            </w:r>
          </w:p>
        </w:tc>
        <w:tc>
          <w:tcPr>
            <w:tcW w:type="dxa" w:w="238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新近 mobile-robot slosh optimization 参考</w:t>
            </w:r>
          </w:p>
        </w:tc>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若只做 retiming，必须标注 inspired</w:t>
            </w:r>
          </w:p>
        </w:tc>
      </w:tr>
      <w:tr>
        <w:tc>
          <w:tcPr>
            <w:tcW w:type="dxa" w:w="1757"/>
            <w:vAlign w:val="center"/>
            <w:tcMar>
              <w:top w:w="80" w:type="dxa"/>
              <w:start w:w="90" w:type="dxa"/>
              <w:bottom w:w="80" w:type="dxa"/>
              <w:end w:w="90" w:type="dxa"/>
            </w:tcMar>
          </w:tcPr>
          <w:p>
            <w:pPr>
              <w:spacing w:after="0"/>
            </w:pPr>
            <w:r>
              <w:rPr>
                <w:rFonts w:ascii="Noto Sans CJK SC" w:hAnsi="Noto Sans CJK SC" w:eastAsia="Noto Sans CJK SC"/>
                <w:b w:val="0"/>
                <w:i w:val="0"/>
                <w:sz w:val="17"/>
              </w:rPr>
              <w:t>B_smooth</w:t>
            </w:r>
          </w:p>
        </w:tc>
        <w:tc>
          <w:tcPr>
            <w:tcW w:type="dxa" w:w="3572"/>
            <w:vAlign w:val="center"/>
            <w:tcMar>
              <w:top w:w="80" w:type="dxa"/>
              <w:start w:w="90" w:type="dxa"/>
              <w:bottom w:w="80" w:type="dxa"/>
              <w:end w:w="90" w:type="dxa"/>
            </w:tcMar>
          </w:tcPr>
          <w:p>
            <w:pPr>
              <w:spacing w:after="0"/>
            </w:pPr>
            <w:r>
              <w:rPr>
                <w:rFonts w:ascii="Noto Sans CJK SC" w:hAnsi="Noto Sans CJK SC" w:eastAsia="Noto Sans CJK SC"/>
                <w:b w:val="0"/>
                <w:i w:val="0"/>
                <w:sz w:val="17"/>
              </w:rPr>
              <w:t>在线 smooth-only SPMPC</w:t>
            </w:r>
          </w:p>
        </w:tc>
        <w:tc>
          <w:tcPr>
            <w:tcW w:type="dxa" w:w="2381"/>
            <w:vAlign w:val="center"/>
            <w:tcMar>
              <w:top w:w="80" w:type="dxa"/>
              <w:start w:w="90" w:type="dxa"/>
              <w:bottom w:w="80" w:type="dxa"/>
              <w:end w:w="90" w:type="dxa"/>
            </w:tcMar>
          </w:tcPr>
          <w:p>
            <w:pPr>
              <w:spacing w:after="0"/>
            </w:pPr>
            <w:r>
              <w:rPr>
                <w:rFonts w:ascii="Noto Sans CJK SC" w:hAnsi="Noto Sans CJK SC" w:eastAsia="Noto Sans CJK SC"/>
                <w:b w:val="0"/>
                <w:i w:val="0"/>
                <w:sz w:val="17"/>
              </w:rPr>
              <w:t>排除普通平滑解释</w:t>
            </w:r>
          </w:p>
        </w:tc>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7"/>
              </w:rPr>
              <w:t>同框架内部基线</w:t>
            </w:r>
          </w:p>
        </w:tc>
      </w:tr>
      <w:tr>
        <w:tc>
          <w:tcPr>
            <w:tcW w:type="dxa" w:w="175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B_ours</w:t>
            </w:r>
          </w:p>
        </w:tc>
        <w:tc>
          <w:tcPr>
            <w:tcW w:type="dxa" w:w="3572"/>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在线 slosh-aware MPCC</w:t>
            </w:r>
          </w:p>
        </w:tc>
        <w:tc>
          <w:tcPr>
            <w:tcW w:type="dxa" w:w="238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本文最终方法</w:t>
            </w:r>
          </w:p>
        </w:tc>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在线 local planner/controller</w:t>
            </w:r>
          </w:p>
        </w:tc>
      </w:tr>
    </w:tbl>
    <w:p>
      <w:pPr>
        <w:spacing w:after="0"/>
      </w:pPr>
    </w:p>
    <w:p>
      <w:pPr>
        <w:pStyle w:val="Heading2"/>
        <w:keepNext/>
        <w:spacing w:before="100" w:after="80"/>
      </w:pPr>
      <w:r>
        <w:rPr>
          <w:rFonts w:ascii="Noto Serif CJK SC" w:hAnsi="Noto Serif CJK SC" w:eastAsia="Noto Serif CJK SC"/>
          <w:b/>
          <w:i w:val="0"/>
          <w:color w:val="1F4E79"/>
          <w:sz w:val="26"/>
        </w:rPr>
        <w:t>2.4 推荐的最终 baseline 方案</w:t>
      </w:r>
    </w:p>
    <w:tbl>
      <w:tblPr>
        <w:tblW w:type="auto" w:w="0"/>
        <w:jc w:val="center"/>
        <w:tblLayout w:type="autofit"/>
        <w:tblLook w:firstColumn="1" w:firstRow="1" w:lastColumn="0" w:lastRow="0" w:noHBand="0" w:noVBand="1" w:val="04A0"/>
      </w:tblPr>
      <w:tblGrid>
        <w:gridCol w:w="9922"/>
      </w:tblGrid>
      <w:tr>
        <w:tc>
          <w:tcPr>
            <w:tcW w:type="dxa" w:w="9922"/>
            <w:shd w:fill="EAF2F8"/>
            <w:tcBorders>
              <w:top w:val="single" w:sz="10" w:color="4472C4"/>
              <w:left w:val="single" w:sz="10" w:color="4472C4"/>
              <w:bottom w:val="single" w:sz="10" w:color="4472C4"/>
              <w:right w:val="single" w:sz="10" w:color="4472C4"/>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主文方案 A（优先）</w:t>
            </w:r>
          </w:p>
          <w:p>
            <w:pPr>
              <w:spacing w:after="0"/>
            </w:pPr>
            <w:r>
              <w:rPr>
                <w:rFonts w:ascii="Noto Sans CJK SC" w:hAnsi="Noto Sans CJK SC" w:eastAsia="Noto Sans CJK SC"/>
                <w:b w:val="0"/>
                <w:i w:val="0"/>
                <w:sz w:val="20"/>
              </w:rPr>
              <w:t>Table I：B0 / B_slosh / B_smooth / B_ours。</w:t>
              <w:br/>
              <w:t>Table II：DWA / TEB / official LT-DWA / B_ours。</w:t>
              <w:br/>
              <w:t>Supplementary：mpc_local_planner、Hamaguchi-inspired、Lim-inspired。</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FFF2CC"/>
            <w:tcBorders>
              <w:top w:val="single" w:sz="10" w:color="BF9000"/>
              <w:left w:val="single" w:sz="10" w:color="BF9000"/>
              <w:bottom w:val="single" w:sz="10" w:color="BF9000"/>
              <w:right w:val="single" w:sz="10" w:color="BF9000"/>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主文方案 B（LT-DWA 未通过 Gate 时）</w:t>
            </w:r>
          </w:p>
          <w:p>
            <w:pPr>
              <w:spacing w:after="0"/>
            </w:pPr>
            <w:r>
              <w:rPr>
                <w:rFonts w:ascii="Noto Sans CJK SC" w:hAnsi="Noto Sans CJK SC" w:eastAsia="Noto Sans CJK SC"/>
                <w:b w:val="0"/>
                <w:i w:val="0"/>
                <w:sz w:val="20"/>
              </w:rPr>
              <w:t>Table I 不变。</w:t>
              <w:br/>
              <w:t>Table II：DWA / TEB / mpc_local_planner / B_ours。</w:t>
              <w:br/>
              <w:t>LT-DWA 的接入过程和失败率放附录，不能隐藏失败。</w:t>
            </w:r>
          </w:p>
        </w:tc>
      </w:tr>
    </w:tbl>
    <w:p>
      <w:pPr>
        <w:spacing w:after="0"/>
      </w:pPr>
    </w:p>
    <w:p>
      <w:pPr>
        <w:pStyle w:val="Heading2"/>
        <w:keepNext/>
        <w:spacing w:before="100" w:after="80"/>
      </w:pPr>
      <w:r>
        <w:rPr>
          <w:rFonts w:ascii="Noto Serif CJK SC" w:hAnsi="Noto Serif CJK SC" w:eastAsia="Noto Serif CJK SC"/>
          <w:b/>
          <w:i w:val="0"/>
          <w:color w:val="1F4E79"/>
          <w:sz w:val="26"/>
        </w:rPr>
        <w:t>2.5 外部 baseline 的公平性协议</w:t>
      </w:r>
    </w:p>
    <w:p>
      <w:pPr>
        <w:pStyle w:val="ListBullet"/>
        <w:spacing w:after="40" w:line="269" w:lineRule="auto"/>
      </w:pPr>
      <w:r>
        <w:rPr>
          <w:rFonts w:ascii="Noto Sans CJK SC" w:hAnsi="Noto Sans CJK SC" w:eastAsia="Noto Sans CJK SC"/>
          <w:b w:val="0"/>
          <w:i w:val="0"/>
          <w:sz w:val="21"/>
        </w:rPr>
        <w:t>输入：同一条 fixed global path、同一起点/目标、同一地图和相同重置流程。</w:t>
      </w:r>
    </w:p>
    <w:p>
      <w:pPr>
        <w:pStyle w:val="ListBullet"/>
        <w:spacing w:after="40" w:line="269" w:lineRule="auto"/>
      </w:pPr>
      <w:r>
        <w:rPr>
          <w:rFonts w:ascii="Noto Sans CJK SC" w:hAnsi="Noto Sans CJK SC" w:eastAsia="Noto Sans CJK SC"/>
          <w:b w:val="0"/>
          <w:i w:val="0"/>
          <w:sz w:val="21"/>
        </w:rPr>
        <w:t>物理边界：统一 v_max、ω_max、a_max、α_max（或最接近的 acc_lim_theta）。</w:t>
      </w:r>
    </w:p>
    <w:p>
      <w:pPr>
        <w:pStyle w:val="ListBullet"/>
        <w:spacing w:after="40" w:line="269" w:lineRule="auto"/>
      </w:pPr>
      <w:r>
        <w:rPr>
          <w:rFonts w:ascii="Noto Sans CJK SC" w:hAnsi="Noto Sans CJK SC" w:eastAsia="Noto Sans CJK SC"/>
          <w:b w:val="0"/>
          <w:i w:val="0"/>
          <w:sz w:val="21"/>
        </w:rPr>
        <w:t>终点：统一 xy/yaw tolerance、是否要求 stop-at-goal、计时到 first reached。</w:t>
      </w:r>
    </w:p>
    <w:p>
      <w:pPr>
        <w:pStyle w:val="ListBullet"/>
        <w:spacing w:after="40" w:line="269" w:lineRule="auto"/>
      </w:pPr>
      <w:r>
        <w:rPr>
          <w:rFonts w:ascii="Noto Sans CJK SC" w:hAnsi="Noto Sans CJK SC" w:eastAsia="Noto Sans CJK SC"/>
          <w:b w:val="0"/>
          <w:i w:val="0"/>
          <w:sz w:val="21"/>
        </w:rPr>
        <w:t>速度公平：除 common-limit 外，补一组完成时间或平均速度差异不超过约 10% 的 matched 对比。</w:t>
      </w:r>
    </w:p>
    <w:p>
      <w:pPr>
        <w:pStyle w:val="ListBullet"/>
        <w:spacing w:after="40" w:line="269" w:lineRule="auto"/>
      </w:pPr>
      <w:r>
        <w:rPr>
          <w:rFonts w:ascii="Noto Sans CJK SC" w:hAnsi="Noto Sans CJK SC" w:eastAsia="Noto Sans CJK SC"/>
          <w:b w:val="0"/>
          <w:i w:val="0"/>
          <w:sz w:val="21"/>
        </w:rPr>
        <w:t>液面评价：跨方法统一使用外部 observer 或 RGB；不能用 /spmpc/slosh_height 直接评价 DWA/TEB。</w:t>
      </w:r>
    </w:p>
    <w:p>
      <w:pPr>
        <w:pStyle w:val="ListBullet"/>
        <w:spacing w:after="40" w:line="269" w:lineRule="auto"/>
      </w:pPr>
      <w:r>
        <w:rPr>
          <w:rFonts w:ascii="Noto Sans CJK SC" w:hAnsi="Noto Sans CJK SC" w:eastAsia="Noto Sans CJK SC"/>
          <w:b w:val="0"/>
          <w:i w:val="0"/>
          <w:sz w:val="21"/>
        </w:rPr>
        <w:t>失败处理：正常算法未到点、发散或碰撞必须计入 success rate，不能因低成功率从表中消失。</w:t>
      </w:r>
    </w:p>
    <w:p>
      <w:pPr>
        <w:pStyle w:val="ListBullet"/>
        <w:spacing w:after="40" w:line="269" w:lineRule="auto"/>
      </w:pPr>
      <w:r>
        <w:rPr>
          <w:rFonts w:ascii="Noto Sans CJK SC" w:hAnsi="Noto Sans CJK SC" w:eastAsia="Noto Sans CJK SC"/>
          <w:b w:val="0"/>
          <w:i w:val="0"/>
          <w:sz w:val="21"/>
        </w:rPr>
        <w:t>调参预算：每个方法使用相同场景划分、相近调参轮数，并冻结参数后运行 test。</w:t>
      </w:r>
    </w:p>
    <w:p>
      <w:pPr>
        <w:pStyle w:val="Heading1"/>
        <w:keepNext/>
        <w:spacing w:before="160" w:after="80"/>
      </w:pPr>
      <w:r>
        <w:rPr>
          <w:rFonts w:ascii="Noto Serif CJK SC" w:hAnsi="Noto Serif CJK SC" w:eastAsia="Noto Serif CJK SC"/>
          <w:b/>
          <w:i w:val="0"/>
          <w:color w:val="1F4E79"/>
          <w:sz w:val="30"/>
        </w:rPr>
        <w:t>3. Method 章节初稿（中文学术写法）</w:t>
      </w:r>
    </w:p>
    <w:tbl>
      <w:tblPr>
        <w:tblW w:type="auto" w:w="0"/>
        <w:jc w:val="center"/>
        <w:tblLayout w:type="autofit"/>
        <w:tblLook w:firstColumn="1" w:firstRow="1" w:lastColumn="0" w:lastRow="0" w:noHBand="0" w:noVBand="1" w:val="04A0"/>
      </w:tblPr>
      <w:tblGrid>
        <w:gridCol w:w="9922"/>
      </w:tblGrid>
      <w:tr>
        <w:tc>
          <w:tcPr>
            <w:tcW w:type="dxa" w:w="9922"/>
            <w:shd w:fill="F2F2F2"/>
            <w:tcBorders>
              <w:top w:val="single" w:sz="10" w:color="7F7F7F"/>
              <w:left w:val="single" w:sz="10" w:color="7F7F7F"/>
              <w:bottom w:val="single" w:sz="10" w:color="7F7F7F"/>
              <w:right w:val="single" w:sz="10" w:color="7F7F7F"/>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使用说明</w:t>
            </w:r>
          </w:p>
          <w:p>
            <w:pPr>
              <w:spacing w:after="0"/>
            </w:pPr>
            <w:r>
              <w:rPr>
                <w:rFonts w:ascii="Noto Sans CJK SC" w:hAnsi="Noto Sans CJK SC" w:eastAsia="Noto Sans CJK SC"/>
                <w:b w:val="0"/>
                <w:i w:val="0"/>
                <w:sz w:val="20"/>
              </w:rPr>
              <w:t>以下文字按当前 2026-06-24 代码口径撰写，可直接作为中文初稿，再翻译为英文。公式编号和符号可在 LaTeX 稿中统一。地图模块未纳入本版。</w:t>
            </w:r>
          </w:p>
        </w:tc>
      </w:tr>
    </w:tbl>
    <w:p>
      <w:pPr>
        <w:spacing w:after="0"/>
      </w:pPr>
    </w:p>
    <w:p>
      <w:pPr>
        <w:pStyle w:val="Heading2"/>
        <w:keepNext/>
        <w:spacing w:before="100" w:after="80"/>
      </w:pPr>
      <w:r>
        <w:rPr>
          <w:rFonts w:ascii="Noto Serif CJK SC" w:hAnsi="Noto Serif CJK SC" w:eastAsia="Noto Serif CJK SC"/>
          <w:b/>
          <w:i w:val="0"/>
          <w:color w:val="1F4E79"/>
          <w:sz w:val="26"/>
        </w:rPr>
        <w:t>III-A. Problem Formulation and System Overview</w:t>
      </w:r>
    </w:p>
    <w:p>
      <w:pPr>
        <w:keepNext w:val="0"/>
        <w:spacing w:before="0" w:after="80" w:line="283" w:lineRule="auto"/>
      </w:pPr>
      <w:r>
        <w:rPr>
          <w:rFonts w:ascii="Noto Sans CJK SC" w:hAnsi="Noto Sans CJK SC" w:eastAsia="Noto Sans CJK SC"/>
          <w:b w:val="0"/>
          <w:i w:val="0"/>
          <w:sz w:val="21"/>
        </w:rPr>
        <w:t>本文考虑一台差速轮式移动机器人运输部分充液的开口圆柱容器。上层模块提供一条固定全局参考路径，局部规划控制器根据当前机器人状态和液体模态状态，在有限预测时域内同时生成一条动力学可行的局部预测轨迹与控制序列。与跟踪预先时间化轨迹的传统 MPC 不同，本文将路径进度作为优化状态，并允许优化器在参考路径几何附近自主调节推进节奏。</w:t>
      </w:r>
    </w:p>
    <w:p>
      <w:pPr>
        <w:keepNext w:val="0"/>
        <w:spacing w:before="0" w:after="80" w:line="283" w:lineRule="auto"/>
      </w:pPr>
      <w:r>
        <w:rPr>
          <w:rFonts w:ascii="Noto Sans CJK SC" w:hAnsi="Noto Sans CJK SC" w:eastAsia="Noto Sans CJK SC"/>
          <w:b w:val="0"/>
          <w:i w:val="0"/>
          <w:sz w:val="21"/>
        </w:rPr>
        <w:t>令参考路径由弧长参数 s ∈ [0,L] 参数化为 r(s)=[x_r(s), y_r(s)]ᵀ。每个控制周期获得机器人测量状态和在线维护的液体状态，求解 N 步非线性最优控制问题：</w:t>
      </w:r>
    </w:p>
    <w:p>
      <w:pPr>
        <w:keepLines/>
        <w:spacing w:before="60" w:after="80"/>
        <w:jc w:val="center"/>
      </w:pPr>
      <w:r>
        <w:rPr>
          <w:rFonts w:ascii="Cambria Math" w:hAnsi="Cambria Math" w:eastAsia="Noto Serif CJK SC"/>
          <w:b w:val="0"/>
          <w:i w:val="0"/>
          <w:sz w:val="23"/>
        </w:rPr>
        <w:t>min_{x₀:N, u₀:N₋₁}  J(x₀:N, u₀:N₋₁)</w:t>
      </w:r>
      <w:r>
        <w:rPr>
          <w:rFonts w:ascii="Cambria Math" w:hAnsi="Cambria Math" w:eastAsia="Noto Serif CJK SC"/>
          <w:b w:val="0"/>
          <w:i w:val="0"/>
          <w:sz w:val="20"/>
        </w:rPr>
        <w:t xml:space="preserve">    (1)</w:t>
      </w:r>
    </w:p>
    <w:p>
      <w:pPr>
        <w:keepNext w:val="0"/>
        <w:spacing w:before="0" w:after="80" w:line="283" w:lineRule="auto"/>
      </w:pPr>
      <w:r>
        <w:rPr>
          <w:rFonts w:ascii="Noto Sans CJK SC" w:hAnsi="Noto Sans CJK SC" w:eastAsia="Noto Sans CJK SC"/>
          <w:b w:val="0"/>
          <w:i w:val="0"/>
          <w:sz w:val="21"/>
        </w:rPr>
        <w:t>满足增广机器人—液体动力学、状态与输入边界以及初始状态约束。求解器返回预测状态序列和控制序列，系统仅执行第一步控制并在下一控制周期重新测量和求解。因此，本文方法属于 fixed-reference local planning and control，而不是全局路径规划。当前连续主线聚焦无障碍或固定参考路径任务，不宣称实现完整 obstacle-aware MPCC。</w:t>
      </w:r>
    </w:p>
    <w:p>
      <w:pPr>
        <w:pStyle w:val="Heading2"/>
        <w:keepNext/>
        <w:spacing w:before="100" w:after="80"/>
      </w:pPr>
      <w:r>
        <w:rPr>
          <w:rFonts w:ascii="Noto Serif CJK SC" w:hAnsi="Noto Serif CJK SC" w:eastAsia="Noto Serif CJK SC"/>
          <w:b/>
          <w:i w:val="0"/>
          <w:color w:val="1F4E79"/>
          <w:sz w:val="26"/>
        </w:rPr>
        <w:t>III-B. Reference Path and Progress Parameterization</w:t>
      </w:r>
    </w:p>
    <w:p>
      <w:pPr>
        <w:keepNext w:val="0"/>
        <w:spacing w:before="0" w:after="80" w:line="283" w:lineRule="auto"/>
      </w:pPr>
      <w:r>
        <w:rPr>
          <w:rFonts w:ascii="Noto Sans CJK SC" w:hAnsi="Noto Sans CJK SC" w:eastAsia="Noto Sans CJK SC"/>
          <w:b w:val="0"/>
          <w:i w:val="0"/>
          <w:sz w:val="21"/>
        </w:rPr>
        <w:t>为将路径几何误差与沿路径推进解耦，定义参考路径的单位切向和法向：</w:t>
      </w:r>
    </w:p>
    <w:p>
      <w:pPr>
        <w:keepLines/>
        <w:spacing w:before="60" w:after="80"/>
        <w:jc w:val="center"/>
      </w:pPr>
      <w:r>
        <w:rPr>
          <w:rFonts w:ascii="Cambria Math" w:hAnsi="Cambria Math" w:eastAsia="Noto Serif CJK SC"/>
          <w:b w:val="0"/>
          <w:i w:val="0"/>
          <w:sz w:val="23"/>
        </w:rPr>
        <w:t>t(s) = r′(s) / ||r′(s)||,     n(s) = [−t_y(s), t_x(s)]ᵀ</w:t>
      </w:r>
      <w:r>
        <w:rPr>
          <w:rFonts w:ascii="Cambria Math" w:hAnsi="Cambria Math" w:eastAsia="Noto Serif CJK SC"/>
          <w:b w:val="0"/>
          <w:i w:val="0"/>
          <w:sz w:val="20"/>
        </w:rPr>
        <w:t xml:space="preserve">    (2)</w:t>
      </w:r>
    </w:p>
    <w:p>
      <w:pPr>
        <w:keepNext w:val="0"/>
        <w:spacing w:before="0" w:after="80" w:line="283" w:lineRule="auto"/>
      </w:pPr>
      <w:r>
        <w:rPr>
          <w:rFonts w:ascii="Noto Sans CJK SC" w:hAnsi="Noto Sans CJK SC" w:eastAsia="Noto Sans CJK SC"/>
          <w:b w:val="0"/>
          <w:i w:val="0"/>
          <w:sz w:val="21"/>
        </w:rPr>
        <w:t>对机器人平面位置 p=[p_x,p_y]ᵀ，轮廓误差和滞后误差定义为：</w:t>
      </w:r>
    </w:p>
    <w:p>
      <w:pPr>
        <w:keepLines/>
        <w:spacing w:before="60" w:after="80"/>
        <w:jc w:val="center"/>
      </w:pPr>
      <w:r>
        <w:rPr>
          <w:rFonts w:ascii="Cambria Math" w:hAnsi="Cambria Math" w:eastAsia="Noto Serif CJK SC"/>
          <w:b w:val="0"/>
          <w:i w:val="0"/>
          <w:sz w:val="23"/>
        </w:rPr>
        <w:t>e_c(p,s) = nᵀ(s)[p − r(s)]</w:t>
      </w:r>
      <w:r>
        <w:rPr>
          <w:rFonts w:ascii="Cambria Math" w:hAnsi="Cambria Math" w:eastAsia="Noto Serif CJK SC"/>
          <w:b w:val="0"/>
          <w:i w:val="0"/>
          <w:sz w:val="20"/>
        </w:rPr>
        <w:t xml:space="preserve">    (3)</w:t>
      </w:r>
    </w:p>
    <w:p>
      <w:pPr>
        <w:keepLines/>
        <w:spacing w:before="60" w:after="80"/>
        <w:jc w:val="center"/>
      </w:pPr>
      <w:r>
        <w:rPr>
          <w:rFonts w:ascii="Cambria Math" w:hAnsi="Cambria Math" w:eastAsia="Noto Serif CJK SC"/>
          <w:b w:val="0"/>
          <w:i w:val="0"/>
          <w:sz w:val="23"/>
        </w:rPr>
        <w:t>e_l(p,s) = tᵀ(s)[p − r(s)]</w:t>
      </w:r>
      <w:r>
        <w:rPr>
          <w:rFonts w:ascii="Cambria Math" w:hAnsi="Cambria Math" w:eastAsia="Noto Serif CJK SC"/>
          <w:b w:val="0"/>
          <w:i w:val="0"/>
          <w:sz w:val="20"/>
        </w:rPr>
        <w:t xml:space="preserve">    (4)</w:t>
      </w:r>
    </w:p>
    <w:p>
      <w:pPr>
        <w:keepNext w:val="0"/>
        <w:spacing w:before="0" w:after="80" w:line="283" w:lineRule="auto"/>
      </w:pPr>
      <w:r>
        <w:rPr>
          <w:rFonts w:ascii="Noto Sans CJK SC" w:hAnsi="Noto Sans CJK SC" w:eastAsia="Noto Sans CJK SC"/>
          <w:b w:val="0"/>
          <w:i w:val="0"/>
          <w:sz w:val="21"/>
        </w:rPr>
        <w:t>路径进度 s 作为状态，虚拟进度速度 v_s 作为控制输入：</w:t>
      </w:r>
    </w:p>
    <w:p>
      <w:pPr>
        <w:keepLines/>
        <w:spacing w:before="60" w:after="80"/>
        <w:jc w:val="center"/>
      </w:pPr>
      <w:r>
        <w:rPr>
          <w:rFonts w:ascii="Cambria Math" w:hAnsi="Cambria Math" w:eastAsia="Noto Serif CJK SC"/>
          <w:b w:val="0"/>
          <w:i w:val="0"/>
          <w:sz w:val="23"/>
        </w:rPr>
        <w:t>ṡ = v_s</w:t>
      </w:r>
      <w:r>
        <w:rPr>
          <w:rFonts w:ascii="Cambria Math" w:hAnsi="Cambria Math" w:eastAsia="Noto Serif CJK SC"/>
          <w:b w:val="0"/>
          <w:i w:val="0"/>
          <w:sz w:val="20"/>
        </w:rPr>
        <w:t xml:space="preserve">    (5)</w:t>
      </w:r>
    </w:p>
    <w:p>
      <w:pPr>
        <w:keepNext w:val="0"/>
        <w:spacing w:before="0" w:after="80" w:line="283" w:lineRule="auto"/>
      </w:pPr>
      <w:r>
        <w:rPr>
          <w:rFonts w:ascii="Noto Sans CJK SC" w:hAnsi="Noto Sans CJK SC" w:eastAsia="Noto Sans CJK SC"/>
          <w:b w:val="0"/>
          <w:i w:val="0"/>
          <w:sz w:val="21"/>
        </w:rPr>
        <w:t>因此，未来参考点 r(s_k) 并非由外部时间轨迹完全固定，而是由 OCP 中的 v_{s,k} 决定。该结构使控制器能够在弯道、终点或晃液风险较高时主动改变沿路径的推进节奏，同时 contouring cost 约束预测轨迹保持在参考路径附近。实际实现中，当前机器人首先通过 monotonic guarded projection 获得 s₀，局部参考窗口再拟合为关于 s 的三次多项式供 acados cost 使用。</w:t>
      </w:r>
    </w:p>
    <w:p>
      <w:pPr>
        <w:pStyle w:val="Heading2"/>
        <w:keepNext/>
        <w:spacing w:before="100" w:after="80"/>
      </w:pPr>
      <w:r>
        <w:rPr>
          <w:rFonts w:ascii="Noto Serif CJK SC" w:hAnsi="Noto Serif CJK SC" w:eastAsia="Noto Serif CJK SC"/>
          <w:b/>
          <w:i w:val="0"/>
          <w:color w:val="1F4E79"/>
          <w:sz w:val="26"/>
        </w:rPr>
        <w:t>III-C. Alpha-State Mobile-Robot Dynamics</w:t>
      </w:r>
    </w:p>
    <w:p>
      <w:pPr>
        <w:keepNext w:val="0"/>
        <w:spacing w:before="0" w:after="80" w:line="283" w:lineRule="auto"/>
      </w:pPr>
      <w:r>
        <w:rPr>
          <w:rFonts w:ascii="Noto Sans CJK SC" w:hAnsi="Noto Sans CJK SC" w:eastAsia="Noto Sans CJK SC"/>
          <w:b w:val="0"/>
          <w:i w:val="0"/>
          <w:sz w:val="21"/>
        </w:rPr>
        <w:t>本文采用全局 Cartesian 坐标下的 alpha-state 非线性运动学模型。基础机器人状态和控制分别为：</w:t>
      </w:r>
    </w:p>
    <w:p>
      <w:pPr>
        <w:keepLines/>
        <w:spacing w:before="60" w:after="80"/>
        <w:jc w:val="center"/>
      </w:pPr>
      <w:r>
        <w:rPr>
          <w:rFonts w:ascii="Cambria Math" w:hAnsi="Cambria Math" w:eastAsia="Noto Serif CJK SC"/>
          <w:b w:val="0"/>
          <w:i w:val="0"/>
          <w:sz w:val="23"/>
        </w:rPr>
        <w:t>x_r = [p_x, p_y, θ, v, s, ω]ᵀ</w:t>
      </w:r>
      <w:r>
        <w:rPr>
          <w:rFonts w:ascii="Cambria Math" w:hAnsi="Cambria Math" w:eastAsia="Noto Serif CJK SC"/>
          <w:b w:val="0"/>
          <w:i w:val="0"/>
          <w:sz w:val="20"/>
        </w:rPr>
        <w:t xml:space="preserve">    (6)</w:t>
      </w:r>
    </w:p>
    <w:p>
      <w:pPr>
        <w:keepLines/>
        <w:spacing w:before="60" w:after="80"/>
        <w:jc w:val="center"/>
      </w:pPr>
      <w:r>
        <w:rPr>
          <w:rFonts w:ascii="Cambria Math" w:hAnsi="Cambria Math" w:eastAsia="Noto Serif CJK SC"/>
          <w:b w:val="0"/>
          <w:i w:val="0"/>
          <w:sz w:val="23"/>
        </w:rPr>
        <w:t>u = [a, α, v_s]ᵀ</w:t>
      </w:r>
      <w:r>
        <w:rPr>
          <w:rFonts w:ascii="Cambria Math" w:hAnsi="Cambria Math" w:eastAsia="Noto Serif CJK SC"/>
          <w:b w:val="0"/>
          <w:i w:val="0"/>
          <w:sz w:val="20"/>
        </w:rPr>
        <w:t xml:space="preserve">    (7)</w:t>
      </w:r>
    </w:p>
    <w:p>
      <w:pPr>
        <w:keepNext w:val="0"/>
        <w:spacing w:before="0" w:after="80" w:line="283" w:lineRule="auto"/>
      </w:pPr>
      <w:r>
        <w:rPr>
          <w:rFonts w:ascii="Noto Sans CJK SC" w:hAnsi="Noto Sans CJK SC" w:eastAsia="Noto Sans CJK SC"/>
          <w:b w:val="0"/>
          <w:i w:val="0"/>
          <w:sz w:val="21"/>
        </w:rPr>
        <w:t>其中 v 和 ω 为物理线速度与角速度，a 为线加速度，α=ω̇ 为角加速度。连续动力学为：</w:t>
      </w:r>
    </w:p>
    <w:p>
      <w:pPr>
        <w:keepLines/>
        <w:spacing w:before="60" w:after="80"/>
        <w:jc w:val="center"/>
      </w:pPr>
      <w:r>
        <w:rPr>
          <w:rFonts w:ascii="Cambria Math" w:hAnsi="Cambria Math" w:eastAsia="Noto Serif CJK SC"/>
          <w:b w:val="0"/>
          <w:i w:val="0"/>
          <w:sz w:val="23"/>
        </w:rPr>
        <w:t>ṗ_x = v cosθ,     ṗ_y = v sinθ,     θ̇ = ω</w:t>
      </w:r>
      <w:r>
        <w:rPr>
          <w:rFonts w:ascii="Cambria Math" w:hAnsi="Cambria Math" w:eastAsia="Noto Serif CJK SC"/>
          <w:b w:val="0"/>
          <w:i w:val="0"/>
          <w:sz w:val="20"/>
        </w:rPr>
        <w:t xml:space="preserve">    (8)</w:t>
      </w:r>
    </w:p>
    <w:p>
      <w:pPr>
        <w:keepLines/>
        <w:spacing w:before="60" w:after="80"/>
        <w:jc w:val="center"/>
      </w:pPr>
      <w:r>
        <w:rPr>
          <w:rFonts w:ascii="Cambria Math" w:hAnsi="Cambria Math" w:eastAsia="Noto Serif CJK SC"/>
          <w:b w:val="0"/>
          <w:i w:val="0"/>
          <w:sz w:val="23"/>
        </w:rPr>
        <w:t>v̇ = a,     ṡ = v_s,     ω̇ = α</w:t>
      </w:r>
      <w:r>
        <w:rPr>
          <w:rFonts w:ascii="Cambria Math" w:hAnsi="Cambria Math" w:eastAsia="Noto Serif CJK SC"/>
          <w:b w:val="0"/>
          <w:i w:val="0"/>
          <w:sz w:val="20"/>
        </w:rPr>
        <w:t xml:space="preserve">    (9)</w:t>
      </w:r>
    </w:p>
    <w:p>
      <w:pPr>
        <w:keepNext w:val="0"/>
        <w:spacing w:before="0" w:after="80" w:line="283" w:lineRule="auto"/>
      </w:pPr>
      <w:r>
        <w:rPr>
          <w:rFonts w:ascii="Noto Sans CJK SC" w:hAnsi="Noto Sans CJK SC" w:eastAsia="Noto Sans CJK SC"/>
          <w:b w:val="0"/>
          <w:i w:val="0"/>
          <w:sz w:val="21"/>
        </w:rPr>
        <w:t>与直接将角速度作为控制量的 tracking MPC 不同，本文将 ω 作为状态并将 α 作为受约束控制，使角速度连续性由系统动力学显式描述，并允许在 OCP 内直接施加角加速度边界。由于位置更新含有 v cosθ 和 v sinθ，该模型是非线性的。</w:t>
      </w:r>
    </w:p>
    <w:p>
      <w:pPr>
        <w:pStyle w:val="Heading2"/>
        <w:keepNext/>
        <w:spacing w:before="100" w:after="80"/>
      </w:pPr>
      <w:r>
        <w:rPr>
          <w:rFonts w:ascii="Noto Serif CJK SC" w:hAnsi="Noto Serif CJK SC" w:eastAsia="Noto Serif CJK SC"/>
          <w:b/>
          <w:i w:val="0"/>
          <w:color w:val="1F4E79"/>
          <w:sz w:val="26"/>
        </w:rPr>
        <w:t>III-D. Slosh Dynamics and Markov Augmentation</w:t>
      </w:r>
    </w:p>
    <w:p>
      <w:pPr>
        <w:keepNext w:val="0"/>
        <w:spacing w:before="0" w:after="80" w:line="283" w:lineRule="auto"/>
      </w:pPr>
      <w:r>
        <w:rPr>
          <w:rFonts w:ascii="Noto Sans CJK SC" w:hAnsi="Noto Sans CJK SC" w:eastAsia="Noto Sans CJK SC"/>
          <w:b w:val="0"/>
          <w:i w:val="0"/>
          <w:sz w:val="21"/>
        </w:rPr>
        <w:t>液体自由液面的一阶主模态采用阻尼二阶模型近似。纵向和横向模态分别满足：</w:t>
      </w:r>
    </w:p>
    <w:p>
      <w:pPr>
        <w:keepLines/>
        <w:spacing w:before="60" w:after="80"/>
        <w:jc w:val="center"/>
      </w:pPr>
      <w:r>
        <w:rPr>
          <w:rFonts w:ascii="Cambria Math" w:hAnsi="Cambria Math" w:eastAsia="Noto Serif CJK SC"/>
          <w:b w:val="0"/>
          <w:i w:val="0"/>
          <w:sz w:val="23"/>
        </w:rPr>
        <w:t>η̈_x + 2ζω_n η̇_x + ω_n²η_x = −κ_x a</w:t>
      </w:r>
      <w:r>
        <w:rPr>
          <w:rFonts w:ascii="Cambria Math" w:hAnsi="Cambria Math" w:eastAsia="Noto Serif CJK SC"/>
          <w:b w:val="0"/>
          <w:i w:val="0"/>
          <w:sz w:val="20"/>
        </w:rPr>
        <w:t xml:space="preserve">    (10)</w:t>
      </w:r>
    </w:p>
    <w:p>
      <w:pPr>
        <w:keepLines/>
        <w:spacing w:before="60" w:after="80"/>
        <w:jc w:val="center"/>
      </w:pPr>
      <w:r>
        <w:rPr>
          <w:rFonts w:ascii="Cambria Math" w:hAnsi="Cambria Math" w:eastAsia="Noto Serif CJK SC"/>
          <w:b w:val="0"/>
          <w:i w:val="0"/>
          <w:sz w:val="23"/>
        </w:rPr>
        <w:t>η̈_y + 2ζω_n η̇_y + ω_n²η_y = −κ_y vω</w:t>
      </w:r>
      <w:r>
        <w:rPr>
          <w:rFonts w:ascii="Cambria Math" w:hAnsi="Cambria Math" w:eastAsia="Noto Serif CJK SC"/>
          <w:b w:val="0"/>
          <w:i w:val="0"/>
          <w:sz w:val="20"/>
        </w:rPr>
        <w:t xml:space="preserve">    (11)</w:t>
      </w:r>
    </w:p>
    <w:p>
      <w:pPr>
        <w:keepNext w:val="0"/>
        <w:spacing w:before="0" w:after="80" w:line="283" w:lineRule="auto"/>
      </w:pPr>
      <w:r>
        <w:rPr>
          <w:rFonts w:ascii="Noto Sans CJK SC" w:hAnsi="Noto Sans CJK SC" w:eastAsia="Noto Sans CJK SC"/>
          <w:b w:val="0"/>
          <w:i w:val="0"/>
          <w:sz w:val="21"/>
        </w:rPr>
        <w:t>其中 ω_n 和 ζ 分别表示主模态自然频率与阻尼比，κ_x 和 κ_y 为运动激励到模态响应的增益。纵向激励由底盘线加速度 a 近似，横向激励由向心加速度 vω 近似。令 ξ_x=η̇_x、ξ_y=η̇_y，则液体状态可写为 x_s=[η_x,ξ_x,η_y,ξ_y]ᵀ，并得到一阶状态方程：</w:t>
      </w:r>
    </w:p>
    <w:p>
      <w:pPr>
        <w:keepLines/>
        <w:spacing w:before="60" w:after="80"/>
        <w:jc w:val="center"/>
      </w:pPr>
      <w:r>
        <w:rPr>
          <w:rFonts w:ascii="Cambria Math" w:hAnsi="Cambria Math" w:eastAsia="Noto Serif CJK SC"/>
          <w:b w:val="0"/>
          <w:i w:val="0"/>
          <w:sz w:val="23"/>
        </w:rPr>
        <w:t>η̇_x = ξ_x,     ξ̇_x = −ω_n²η_x − 2ζω_nξ_x − κ_xa</w:t>
      </w:r>
      <w:r>
        <w:rPr>
          <w:rFonts w:ascii="Cambria Math" w:hAnsi="Cambria Math" w:eastAsia="Noto Serif CJK SC"/>
          <w:b w:val="0"/>
          <w:i w:val="0"/>
          <w:sz w:val="20"/>
        </w:rPr>
        <w:t xml:space="preserve">    (12)</w:t>
      </w:r>
    </w:p>
    <w:p>
      <w:pPr>
        <w:keepLines/>
        <w:spacing w:before="60" w:after="80"/>
        <w:jc w:val="center"/>
      </w:pPr>
      <w:r>
        <w:rPr>
          <w:rFonts w:ascii="Cambria Math" w:hAnsi="Cambria Math" w:eastAsia="Noto Serif CJK SC"/>
          <w:b w:val="0"/>
          <w:i w:val="0"/>
          <w:sz w:val="23"/>
        </w:rPr>
        <w:t>η̇_y = ξ_y,     ξ̇_y = −ω_n²η_y − 2ζω_nξ_y − κ_yvω</w:t>
      </w:r>
      <w:r>
        <w:rPr>
          <w:rFonts w:ascii="Cambria Math" w:hAnsi="Cambria Math" w:eastAsia="Noto Serif CJK SC"/>
          <w:b w:val="0"/>
          <w:i w:val="0"/>
          <w:sz w:val="20"/>
        </w:rPr>
        <w:t xml:space="preserve">    (13)</w:t>
      </w:r>
    </w:p>
    <w:p>
      <w:pPr>
        <w:keepNext w:val="0"/>
        <w:spacing w:before="0" w:after="80" w:line="283" w:lineRule="auto"/>
      </w:pPr>
      <w:r>
        <w:rPr>
          <w:rFonts w:ascii="Noto Sans CJK SC" w:hAnsi="Noto Sans CJK SC" w:eastAsia="Noto Sans CJK SC"/>
          <w:b w:val="0"/>
          <w:i w:val="0"/>
          <w:sz w:val="21"/>
        </w:rPr>
        <w:t>液体的历史激励不需要以完整时间序列输入优化器，而是被压缩到当前 η 和 η̇ 中。给定当前增广状态与未来控制，下一状态仅依赖当前状态和控制，因此机器人—液体组合系统可采用 Markov 状态形式进入 MPC horizon。即使当前加速度为零，只要 η 或 η̇ 非零，液体仍会继续残振，这也是普通输入平滑无法完全替代显式晃液状态的原因。</w:t>
      </w:r>
    </w:p>
    <w:p>
      <w:pPr>
        <w:pStyle w:val="Heading2"/>
        <w:keepNext/>
        <w:spacing w:before="100" w:after="80"/>
      </w:pPr>
      <w:r>
        <w:rPr>
          <w:rFonts w:ascii="Noto Serif CJK SC" w:hAnsi="Noto Serif CJK SC" w:eastAsia="Noto Serif CJK SC"/>
          <w:b/>
          <w:i w:val="0"/>
          <w:color w:val="1F4E79"/>
          <w:sz w:val="26"/>
        </w:rPr>
        <w:t>III-E. Augmented Nonlinear Dynamics</w:t>
      </w:r>
    </w:p>
    <w:p>
      <w:pPr>
        <w:keepNext w:val="0"/>
        <w:spacing w:before="0" w:after="80" w:line="283" w:lineRule="auto"/>
      </w:pPr>
      <w:r>
        <w:rPr>
          <w:rFonts w:ascii="Noto Sans CJK SC" w:hAnsi="Noto Sans CJK SC" w:eastAsia="Noto Sans CJK SC"/>
          <w:b w:val="0"/>
          <w:i w:val="0"/>
          <w:sz w:val="21"/>
        </w:rPr>
        <w:t>将机器人、路径进度和液体模态合并，得到本文的完整增广状态：</w:t>
      </w:r>
    </w:p>
    <w:p>
      <w:pPr>
        <w:keepLines/>
        <w:spacing w:before="60" w:after="80"/>
        <w:jc w:val="center"/>
      </w:pPr>
      <w:r>
        <w:rPr>
          <w:rFonts w:ascii="Cambria Math" w:hAnsi="Cambria Math" w:eastAsia="Noto Serif CJK SC"/>
          <w:b w:val="0"/>
          <w:i w:val="0"/>
          <w:sz w:val="23"/>
        </w:rPr>
        <w:t>x = [p_x,p_y,θ,v,s,ω,η_x,ξ_x,η_y,ξ_y]ᵀ</w:t>
      </w:r>
      <w:r>
        <w:rPr>
          <w:rFonts w:ascii="Cambria Math" w:hAnsi="Cambria Math" w:eastAsia="Noto Serif CJK SC"/>
          <w:b w:val="0"/>
          <w:i w:val="0"/>
          <w:sz w:val="20"/>
        </w:rPr>
        <w:t xml:space="preserve">    (14)</w:t>
      </w:r>
    </w:p>
    <w:p>
      <w:pPr>
        <w:keepNext w:val="0"/>
        <w:spacing w:before="0" w:after="80" w:line="283" w:lineRule="auto"/>
      </w:pPr>
      <w:r>
        <w:rPr>
          <w:rFonts w:ascii="Noto Sans CJK SC" w:hAnsi="Noto Sans CJK SC" w:eastAsia="Noto Sans CJK SC"/>
          <w:b w:val="0"/>
          <w:i w:val="0"/>
          <w:sz w:val="21"/>
        </w:rPr>
        <w:t>增广连续动力学统一写为：</w:t>
      </w:r>
    </w:p>
    <w:p>
      <w:pPr>
        <w:keepLines/>
        <w:spacing w:before="60" w:after="80"/>
        <w:jc w:val="center"/>
      </w:pPr>
      <w:r>
        <w:rPr>
          <w:rFonts w:ascii="Cambria Math" w:hAnsi="Cambria Math" w:eastAsia="Noto Serif CJK SC"/>
          <w:b w:val="0"/>
          <w:i w:val="0"/>
          <w:sz w:val="23"/>
        </w:rPr>
        <w:t>ẋ = f(x,u) = [v cosθ, v sinθ, ω, a, v_s, α, ξ_x, −ω_n²η_x−2ζω_nξ_x−κ_xa, ξ_y, −ω_n²η_y−2ζω_nξ_y−κ_yvω]ᵀ</w:t>
      </w:r>
      <w:r>
        <w:rPr>
          <w:rFonts w:ascii="Cambria Math" w:hAnsi="Cambria Math" w:eastAsia="Noto Serif CJK SC"/>
          <w:b w:val="0"/>
          <w:i w:val="0"/>
          <w:sz w:val="20"/>
        </w:rPr>
        <w:t xml:space="preserve">    (15)</w:t>
      </w:r>
    </w:p>
    <w:p>
      <w:pPr>
        <w:keepNext w:val="0"/>
        <w:spacing w:before="0" w:after="80" w:line="283" w:lineRule="auto"/>
      </w:pPr>
      <w:r>
        <w:rPr>
          <w:rFonts w:ascii="Noto Sans CJK SC" w:hAnsi="Noto Sans CJK SC" w:eastAsia="Noto Sans CJK SC"/>
          <w:b w:val="0"/>
          <w:i w:val="0"/>
          <w:sz w:val="21"/>
        </w:rPr>
        <w:t>在无 slosh 的 B0/B_smooth 变体中，系统使用前六维状态；在 B_slosh/B_ours 中使用完整十维状态。液体模态不是自由选择的控制变量，而是在动力学约束下由控制序列和机器人状态传播；优化器通过选择 a、α 和 v_s 间接改变未来液体响应。</w:t>
      </w:r>
    </w:p>
    <w:p>
      <w:pPr>
        <w:pStyle w:val="Heading2"/>
        <w:keepNext/>
        <w:spacing w:before="100" w:after="80"/>
      </w:pPr>
      <w:r>
        <w:rPr>
          <w:rFonts w:ascii="Noto Serif CJK SC" w:hAnsi="Noto Serif CJK SC" w:eastAsia="Noto Serif CJK SC"/>
          <w:b/>
          <w:i w:val="0"/>
          <w:color w:val="1F4E79"/>
          <w:sz w:val="26"/>
        </w:rPr>
        <w:t>III-F. Slosh-Aware MPCC Objective</w:t>
      </w:r>
    </w:p>
    <w:p>
      <w:pPr>
        <w:keepNext w:val="0"/>
        <w:spacing w:before="0" w:after="80" w:line="283" w:lineRule="auto"/>
      </w:pPr>
      <w:r>
        <w:rPr>
          <w:rFonts w:ascii="Noto Sans CJK SC" w:hAnsi="Noto Sans CJK SC" w:eastAsia="Noto Sans CJK SC"/>
          <w:b w:val="0"/>
          <w:i w:val="0"/>
          <w:sz w:val="21"/>
        </w:rPr>
        <w:t>对每个预测阶段 k，定义综合代价：</w:t>
      </w:r>
    </w:p>
    <w:p>
      <w:pPr>
        <w:keepLines/>
        <w:spacing w:before="60" w:after="80"/>
        <w:jc w:val="center"/>
      </w:pPr>
      <w:r>
        <w:rPr>
          <w:rFonts w:ascii="Cambria Math" w:hAnsi="Cambria Math" w:eastAsia="Noto Serif CJK SC"/>
          <w:b w:val="0"/>
          <w:i w:val="0"/>
          <w:sz w:val="23"/>
        </w:rPr>
        <w:t>J = Σ_{k=0}^{N−1}(J_c,k + J_l,k + J_p,k + J_v,k + J_u,k + J_sm,k + J_sl,k) + J_N</w:t>
      </w:r>
      <w:r>
        <w:rPr>
          <w:rFonts w:ascii="Cambria Math" w:hAnsi="Cambria Math" w:eastAsia="Noto Serif CJK SC"/>
          <w:b w:val="0"/>
          <w:i w:val="0"/>
          <w:sz w:val="20"/>
        </w:rPr>
        <w:t xml:space="preserve">    (16)</w:t>
      </w:r>
    </w:p>
    <w:p>
      <w:pPr>
        <w:pStyle w:val="Heading3"/>
        <w:keepNext/>
        <w:spacing w:before="100" w:after="80"/>
      </w:pPr>
      <w:r>
        <w:rPr>
          <w:rFonts w:ascii="Noto Serif CJK SC" w:hAnsi="Noto Serif CJK SC" w:eastAsia="Noto Serif CJK SC"/>
          <w:b/>
          <w:i w:val="0"/>
          <w:color w:val="2E465B"/>
          <w:sz w:val="23"/>
        </w:rPr>
        <w:t>III-F1. Contouring and Lag Costs</w:t>
      </w:r>
    </w:p>
    <w:p>
      <w:pPr>
        <w:keepLines/>
        <w:spacing w:before="60" w:after="80"/>
        <w:jc w:val="center"/>
      </w:pPr>
      <w:r>
        <w:rPr>
          <w:rFonts w:ascii="Cambria Math" w:hAnsi="Cambria Math" w:eastAsia="Noto Serif CJK SC"/>
          <w:b w:val="0"/>
          <w:i w:val="0"/>
          <w:sz w:val="23"/>
        </w:rPr>
        <w:t>J_c,k = w_c (e_c,k / e_c,ref)²,     J_l,k = w_l (e_l,k / e_l,ref)²</w:t>
      </w:r>
      <w:r>
        <w:rPr>
          <w:rFonts w:ascii="Cambria Math" w:hAnsi="Cambria Math" w:eastAsia="Noto Serif CJK SC"/>
          <w:b w:val="0"/>
          <w:i w:val="0"/>
          <w:sz w:val="20"/>
        </w:rPr>
        <w:t xml:space="preserve">    (17)</w:t>
      </w:r>
    </w:p>
    <w:p>
      <w:pPr>
        <w:keepNext w:val="0"/>
        <w:spacing w:before="0" w:after="80" w:line="283" w:lineRule="auto"/>
      </w:pPr>
      <w:r>
        <w:rPr>
          <w:rFonts w:ascii="Noto Sans CJK SC" w:hAnsi="Noto Sans CJK SC" w:eastAsia="Noto Sans CJK SC"/>
          <w:b w:val="0"/>
          <w:i w:val="0"/>
          <w:sz w:val="21"/>
        </w:rPr>
        <w:t>轮廓误差约束预测轨迹贴近参考路径，滞后误差用于协调位置状态与路径进度 s_k。二者共同防止优化器仅通过虚拟推进 s 获得进度奖励而脱离实际路径。</w:t>
      </w:r>
    </w:p>
    <w:p>
      <w:pPr>
        <w:pStyle w:val="Heading3"/>
        <w:keepNext/>
        <w:spacing w:before="100" w:after="80"/>
      </w:pPr>
      <w:r>
        <w:rPr>
          <w:rFonts w:ascii="Noto Serif CJK SC" w:hAnsi="Noto Serif CJK SC" w:eastAsia="Noto Serif CJK SC"/>
          <w:b/>
          <w:i w:val="0"/>
          <w:color w:val="2E465B"/>
          <w:sz w:val="23"/>
        </w:rPr>
        <w:t>III-F2. Progress and Velocity Costs</w:t>
      </w:r>
    </w:p>
    <w:p>
      <w:pPr>
        <w:keepLines/>
        <w:spacing w:before="60" w:after="80"/>
        <w:jc w:val="center"/>
      </w:pPr>
      <w:r>
        <w:rPr>
          <w:rFonts w:ascii="Cambria Math" w:hAnsi="Cambria Math" w:eastAsia="Noto Serif CJK SC"/>
          <w:b w:val="0"/>
          <w:i w:val="0"/>
          <w:sz w:val="23"/>
        </w:rPr>
        <w:t>J_p,k = −w_p v_s,k / v_s,max</w:t>
      </w:r>
      <w:r>
        <w:rPr>
          <w:rFonts w:ascii="Cambria Math" w:hAnsi="Cambria Math" w:eastAsia="Noto Serif CJK SC"/>
          <w:b w:val="0"/>
          <w:i w:val="0"/>
          <w:sz w:val="20"/>
        </w:rPr>
        <w:t xml:space="preserve">    (18)</w:t>
      </w:r>
    </w:p>
    <w:p>
      <w:pPr>
        <w:keepLines/>
        <w:spacing w:before="60" w:after="80"/>
        <w:jc w:val="center"/>
      </w:pPr>
      <w:r>
        <w:rPr>
          <w:rFonts w:ascii="Cambria Math" w:hAnsi="Cambria Math" w:eastAsia="Noto Serif CJK SC"/>
          <w:b w:val="0"/>
          <w:i w:val="0"/>
          <w:sz w:val="23"/>
        </w:rPr>
        <w:t>J_v,k = w_v[(v_k−v_ref,k)/v_max]² + w_vs[(v_s,k−v_ref,k)/v_s,max]²</w:t>
      </w:r>
      <w:r>
        <w:rPr>
          <w:rFonts w:ascii="Cambria Math" w:hAnsi="Cambria Math" w:eastAsia="Noto Serif CJK SC"/>
          <w:b w:val="0"/>
          <w:i w:val="0"/>
          <w:sz w:val="20"/>
        </w:rPr>
        <w:t xml:space="preserve">    (19)</w:t>
      </w:r>
    </w:p>
    <w:p>
      <w:pPr>
        <w:keepNext w:val="0"/>
        <w:spacing w:before="0" w:after="80" w:line="283" w:lineRule="auto"/>
      </w:pPr>
      <w:r>
        <w:rPr>
          <w:rFonts w:ascii="Noto Sans CJK SC" w:hAnsi="Noto Sans CJK SC" w:eastAsia="Noto Sans CJK SC"/>
          <w:b w:val="0"/>
          <w:i w:val="0"/>
          <w:sz w:val="21"/>
        </w:rPr>
        <w:t>负的进度项鼓励沿路径推进，物理速度 v 和虚拟进度速度 v_s 同时跟踪参考速度。当前实现还根据参考曲率对 v_ref 进行降速，并对低于有效参考速度的 v 和 v_s 施加非对称 anti-creep 代价，从而减少低速停滞解。为避免正文过度复杂，可在主文给出基础形式，并在实现段说明曲率限速与 one-sided anti-creep 扩展。</w:t>
      </w:r>
    </w:p>
    <w:p>
      <w:pPr>
        <w:pStyle w:val="Heading3"/>
        <w:keepNext/>
        <w:spacing w:before="100" w:after="80"/>
      </w:pPr>
      <w:r>
        <w:rPr>
          <w:rFonts w:ascii="Noto Serif CJK SC" w:hAnsi="Noto Serif CJK SC" w:eastAsia="Noto Serif CJK SC"/>
          <w:b/>
          <w:i w:val="0"/>
          <w:color w:val="2E465B"/>
          <w:sz w:val="23"/>
        </w:rPr>
        <w:t>III-F3. Control and Smoothness Costs</w:t>
      </w:r>
    </w:p>
    <w:p>
      <w:pPr>
        <w:keepLines/>
        <w:spacing w:before="60" w:after="80"/>
        <w:jc w:val="center"/>
      </w:pPr>
      <w:r>
        <w:rPr>
          <w:rFonts w:ascii="Cambria Math" w:hAnsi="Cambria Math" w:eastAsia="Noto Serif CJK SC"/>
          <w:b w:val="0"/>
          <w:i w:val="0"/>
          <w:sz w:val="23"/>
        </w:rPr>
        <w:t>J_u,k = w_a(a_k/a_max)² + w_ω(ω_k/ω_max)² + w_α(α_k/α_max)²</w:t>
      </w:r>
      <w:r>
        <w:rPr>
          <w:rFonts w:ascii="Cambria Math" w:hAnsi="Cambria Math" w:eastAsia="Noto Serif CJK SC"/>
          <w:b w:val="0"/>
          <w:i w:val="0"/>
          <w:sz w:val="20"/>
        </w:rPr>
        <w:t xml:space="preserve">    (20)</w:t>
      </w:r>
    </w:p>
    <w:p>
      <w:pPr>
        <w:keepNext w:val="0"/>
        <w:spacing w:before="0" w:after="80" w:line="283" w:lineRule="auto"/>
      </w:pPr>
      <w:r>
        <w:rPr>
          <w:rFonts w:ascii="Noto Sans CJK SC" w:hAnsi="Noto Sans CJK SC" w:eastAsia="Noto Sans CJK SC"/>
          <w:b w:val="0"/>
          <w:i w:val="0"/>
          <w:sz w:val="21"/>
        </w:rPr>
        <w:t>其中 α 正则在整个 horizon 内抑制角速度快速变化。当前实现的跨周期平滑主要作用于第一个控制阶段：</w:t>
      </w:r>
    </w:p>
    <w:p>
      <w:pPr>
        <w:keepLines/>
        <w:spacing w:before="60" w:after="80"/>
        <w:jc w:val="center"/>
      </w:pPr>
      <w:r>
        <w:rPr>
          <w:rFonts w:ascii="Cambria Math" w:hAnsi="Cambria Math" w:eastAsia="Noto Serif CJK SC"/>
          <w:b w:val="0"/>
          <w:i w:val="0"/>
          <w:sz w:val="23"/>
        </w:rPr>
        <w:t>J_sm,0 = w_Δa[(a₀−a_prev)/a_max]² + w_Δvs[(v_s,0−v_s,prev)/v_s,max]²</w:t>
      </w:r>
      <w:r>
        <w:rPr>
          <w:rFonts w:ascii="Cambria Math" w:hAnsi="Cambria Math" w:eastAsia="Noto Serif CJK SC"/>
          <w:b w:val="0"/>
          <w:i w:val="0"/>
          <w:sz w:val="20"/>
        </w:rPr>
        <w:t xml:space="preserve">    (21)</w:t>
      </w:r>
    </w:p>
    <w:p>
      <w:pPr>
        <w:keepNext w:val="0"/>
        <w:spacing w:before="0" w:after="80" w:line="283" w:lineRule="auto"/>
      </w:pPr>
      <w:r>
        <w:rPr>
          <w:rFonts w:ascii="Noto Sans CJK SC" w:hAnsi="Noto Sans CJK SC" w:eastAsia="Noto Sans CJK SC"/>
          <w:b w:val="0"/>
          <w:i w:val="0"/>
          <w:sz w:val="21"/>
        </w:rPr>
        <w:t>该项使当前控制周期第一步与上一周期已执行控制保持连续。需要强调，当前实现不是完整 horizon 内的 Δu_k 平滑；论文应准确表述为 horizon-wide α regularization 加 stage-0 cross-cycle smoothing。</w:t>
      </w:r>
    </w:p>
    <w:p>
      <w:pPr>
        <w:pStyle w:val="Heading3"/>
        <w:keepNext/>
        <w:spacing w:before="100" w:after="80"/>
      </w:pPr>
      <w:r>
        <w:rPr>
          <w:rFonts w:ascii="Noto Serif CJK SC" w:hAnsi="Noto Serif CJK SC" w:eastAsia="Noto Serif CJK SC"/>
          <w:b/>
          <w:i w:val="0"/>
          <w:color w:val="2E465B"/>
          <w:sz w:val="23"/>
        </w:rPr>
        <w:t>III-F4. Slosh-Modal Cost</w:t>
      </w:r>
    </w:p>
    <w:p>
      <w:pPr>
        <w:keepLines/>
        <w:spacing w:before="60" w:after="80"/>
        <w:jc w:val="center"/>
      </w:pPr>
      <w:r>
        <w:rPr>
          <w:rFonts w:ascii="Cambria Math" w:hAnsi="Cambria Math" w:eastAsia="Noto Serif CJK SC"/>
          <w:b w:val="0"/>
          <w:i w:val="0"/>
          <w:sz w:val="23"/>
        </w:rPr>
        <w:t>J_sl,k = w_η(η_x,k²+η_y,k²)/η_ref² + w_ξ(ξ_x,k²+ξ_y,k²)/ξ_ref²</w:t>
      </w:r>
      <w:r>
        <w:rPr>
          <w:rFonts w:ascii="Cambria Math" w:hAnsi="Cambria Math" w:eastAsia="Noto Serif CJK SC"/>
          <w:b w:val="0"/>
          <w:i w:val="0"/>
          <w:sz w:val="20"/>
        </w:rPr>
        <w:t xml:space="preserve">    (22)</w:t>
      </w:r>
    </w:p>
    <w:p>
      <w:pPr>
        <w:keepNext w:val="0"/>
        <w:spacing w:before="0" w:after="80" w:line="283" w:lineRule="auto"/>
      </w:pPr>
      <w:r>
        <w:rPr>
          <w:rFonts w:ascii="Noto Sans CJK SC" w:hAnsi="Noto Sans CJK SC" w:eastAsia="Noto Sans CJK SC"/>
          <w:b w:val="0"/>
          <w:i w:val="0"/>
          <w:sz w:val="21"/>
        </w:rPr>
        <w:t>该项惩罚 horizon 内预测的液体模态位移与模态速度，而不是仅惩罚瞬时加速度。因此，两个幅值和变化率相近的控制序列，如果与当前残振相位的关系不同，可能产生不同的 J_sl。B_smooth 只能看到控制幅值和变化，B_ours 还可以通过 η/η̇ 的传播区分未来激励是否会放大残振。</w:t>
      </w:r>
    </w:p>
    <w:p>
      <w:pPr>
        <w:pStyle w:val="Heading2"/>
        <w:keepNext/>
        <w:spacing w:before="100" w:after="80"/>
      </w:pPr>
      <w:r>
        <w:rPr>
          <w:rFonts w:ascii="Noto Serif CJK SC" w:hAnsi="Noto Serif CJK SC" w:eastAsia="Noto Serif CJK SC"/>
          <w:b/>
          <w:i w:val="0"/>
          <w:color w:val="1F4E79"/>
          <w:sz w:val="26"/>
        </w:rPr>
        <w:t>III-G. State and Input Constraints</w:t>
      </w:r>
    </w:p>
    <w:p>
      <w:pPr>
        <w:keepNext w:val="0"/>
        <w:spacing w:before="0" w:after="80" w:line="283" w:lineRule="auto"/>
      </w:pPr>
      <w:r>
        <w:rPr>
          <w:rFonts w:ascii="Noto Sans CJK SC" w:hAnsi="Noto Sans CJK SC" w:eastAsia="Noto Sans CJK SC"/>
          <w:b w:val="0"/>
          <w:i w:val="0"/>
          <w:sz w:val="21"/>
        </w:rPr>
        <w:t>OCP 施加以下 box constraints：</w:t>
      </w:r>
    </w:p>
    <w:p>
      <w:pPr>
        <w:keepLines/>
        <w:spacing w:before="60" w:after="80"/>
        <w:jc w:val="center"/>
      </w:pPr>
      <w:r>
        <w:rPr>
          <w:rFonts w:ascii="Cambria Math" w:hAnsi="Cambria Math" w:eastAsia="Noto Serif CJK SC"/>
          <w:b w:val="0"/>
          <w:i w:val="0"/>
          <w:sz w:val="23"/>
        </w:rPr>
        <w:t>0 ≤ v_k ≤ v_max,     −ω_max ≤ ω_k ≤ ω_max</w:t>
      </w:r>
      <w:r>
        <w:rPr>
          <w:rFonts w:ascii="Cambria Math" w:hAnsi="Cambria Math" w:eastAsia="Noto Serif CJK SC"/>
          <w:b w:val="0"/>
          <w:i w:val="0"/>
          <w:sz w:val="20"/>
        </w:rPr>
        <w:t xml:space="preserve">    (23)</w:t>
      </w:r>
    </w:p>
    <w:p>
      <w:pPr>
        <w:keepLines/>
        <w:spacing w:before="60" w:after="80"/>
        <w:jc w:val="center"/>
      </w:pPr>
      <w:r>
        <w:rPr>
          <w:rFonts w:ascii="Cambria Math" w:hAnsi="Cambria Math" w:eastAsia="Noto Serif CJK SC"/>
          <w:b w:val="0"/>
          <w:i w:val="0"/>
          <w:sz w:val="23"/>
        </w:rPr>
        <w:t>−a_max ≤ a_k ≤ a_max,     −α_max ≤ α_k ≤ α_max</w:t>
      </w:r>
      <w:r>
        <w:rPr>
          <w:rFonts w:ascii="Cambria Math" w:hAnsi="Cambria Math" w:eastAsia="Noto Serif CJK SC"/>
          <w:b w:val="0"/>
          <w:i w:val="0"/>
          <w:sz w:val="20"/>
        </w:rPr>
        <w:t xml:space="preserve">    (24)</w:t>
      </w:r>
    </w:p>
    <w:p>
      <w:pPr>
        <w:keepLines/>
        <w:spacing w:before="60" w:after="80"/>
        <w:jc w:val="center"/>
      </w:pPr>
      <w:r>
        <w:rPr>
          <w:rFonts w:ascii="Cambria Math" w:hAnsi="Cambria Math" w:eastAsia="Noto Serif CJK SC"/>
          <w:b w:val="0"/>
          <w:i w:val="0"/>
          <w:sz w:val="23"/>
        </w:rPr>
        <w:t>0 ≤ v_s,k ≤ v_s,max</w:t>
      </w:r>
      <w:r>
        <w:rPr>
          <w:rFonts w:ascii="Cambria Math" w:hAnsi="Cambria Math" w:eastAsia="Noto Serif CJK SC"/>
          <w:b w:val="0"/>
          <w:i w:val="0"/>
          <w:sz w:val="20"/>
        </w:rPr>
        <w:t xml:space="preserve">    (25)</w:t>
      </w:r>
    </w:p>
    <w:p>
      <w:pPr>
        <w:keepNext w:val="0"/>
        <w:spacing w:before="0" w:after="80" w:line="283" w:lineRule="auto"/>
      </w:pPr>
      <w:r>
        <w:rPr>
          <w:rFonts w:ascii="Noto Sans CJK SC" w:hAnsi="Noto Sans CJK SC" w:eastAsia="Noto Sans CJK SC"/>
          <w:b w:val="0"/>
          <w:i w:val="0"/>
          <w:sz w:val="21"/>
        </w:rPr>
        <w:t>当前连续主线没有实现完整 obstacle/costmap hard constraint、corridor constraint 或 slosh hard bound，因此本版 Method 不写入这些尚未实现的约束。</w:t>
      </w:r>
    </w:p>
    <w:p>
      <w:pPr>
        <w:pStyle w:val="Heading2"/>
        <w:keepNext/>
        <w:spacing w:before="100" w:after="80"/>
      </w:pPr>
      <w:r>
        <w:rPr>
          <w:rFonts w:ascii="Noto Serif CJK SC" w:hAnsi="Noto Serif CJK SC" w:eastAsia="Noto Serif CJK SC"/>
          <w:b/>
          <w:i w:val="0"/>
          <w:color w:val="1F4E79"/>
          <w:sz w:val="26"/>
        </w:rPr>
        <w:t>III-H. Online Slosh-State Update</w:t>
      </w:r>
    </w:p>
    <w:p>
      <w:pPr>
        <w:keepNext w:val="0"/>
        <w:spacing w:before="0" w:after="80" w:line="283" w:lineRule="auto"/>
      </w:pPr>
      <w:r>
        <w:rPr>
          <w:rFonts w:ascii="Noto Sans CJK SC" w:hAnsi="Noto Sans CJK SC" w:eastAsia="Noto Sans CJK SC"/>
          <w:b w:val="0"/>
          <w:i w:val="0"/>
          <w:sz w:val="21"/>
        </w:rPr>
        <w:t>为了在相邻 MPC 周期间保留液体记忆，ROS 侧 observer 根据实测 odometry 持续更新液体状态。对连续两帧 odom，纵向和横向激励估计为：</w:t>
      </w:r>
    </w:p>
    <w:p>
      <w:pPr>
        <w:keepLines/>
        <w:spacing w:before="60" w:after="80"/>
        <w:jc w:val="center"/>
      </w:pPr>
      <w:r>
        <w:rPr>
          <w:rFonts w:ascii="Cambria Math" w:hAnsi="Cambria Math" w:eastAsia="Noto Serif CJK SC"/>
          <w:b w:val="0"/>
          <w:i w:val="0"/>
          <w:sz w:val="23"/>
        </w:rPr>
        <w:t>a_x(t) ≈ [v(t)−v(t−Δt)]/Δt,     a_y(t) ≈ v(t)ω(t)</w:t>
      </w:r>
      <w:r>
        <w:rPr>
          <w:rFonts w:ascii="Cambria Math" w:hAnsi="Cambria Math" w:eastAsia="Noto Serif CJK SC"/>
          <w:b w:val="0"/>
          <w:i w:val="0"/>
          <w:sz w:val="20"/>
        </w:rPr>
        <w:t xml:space="preserve">    (26)</w:t>
      </w:r>
    </w:p>
    <w:p>
      <w:pPr>
        <w:keepNext w:val="0"/>
        <w:spacing w:before="0" w:after="80" w:line="283" w:lineRule="auto"/>
      </w:pPr>
      <w:r>
        <w:rPr>
          <w:rFonts w:ascii="Noto Sans CJK SC" w:hAnsi="Noto Sans CJK SC" w:eastAsia="Noto Sans CJK SC"/>
          <w:b w:val="0"/>
          <w:i w:val="0"/>
          <w:sz w:val="21"/>
        </w:rPr>
        <w:t>离散液体模型为：</w:t>
      </w:r>
    </w:p>
    <w:p>
      <w:pPr>
        <w:keepLines/>
        <w:spacing w:before="60" w:after="80"/>
        <w:jc w:val="center"/>
      </w:pPr>
      <w:r>
        <w:rPr>
          <w:rFonts w:ascii="Cambria Math" w:hAnsi="Cambria Math" w:eastAsia="Noto Serif CJK SC"/>
          <w:b w:val="0"/>
          <w:i w:val="0"/>
          <w:sz w:val="23"/>
        </w:rPr>
        <w:t>x_s(t+Δt) = A_d x_s(t) + B_d[a_x(t),a_y(t)]ᵀ</w:t>
      </w:r>
      <w:r>
        <w:rPr>
          <w:rFonts w:ascii="Cambria Math" w:hAnsi="Cambria Math" w:eastAsia="Noto Serif CJK SC"/>
          <w:b w:val="0"/>
          <w:i w:val="0"/>
          <w:sz w:val="20"/>
        </w:rPr>
        <w:t xml:space="preserve">    (27)</w:t>
      </w:r>
    </w:p>
    <w:p>
      <w:pPr>
        <w:keepNext w:val="0"/>
        <w:spacing w:before="0" w:after="80" w:line="283" w:lineRule="auto"/>
      </w:pPr>
      <w:r>
        <w:rPr>
          <w:rFonts w:ascii="Noto Sans CJK SC" w:hAnsi="Noto Sans CJK SC" w:eastAsia="Noto Sans CJK SC"/>
          <w:b w:val="0"/>
          <w:i w:val="0"/>
          <w:sz w:val="21"/>
        </w:rPr>
        <w:t>更新后的 x_s 作为下一次 OCP 的 slosh 初值并同时用于在线模型诊断。RGB 液面测量不进入控制回路，而用于实物评价和模型保真度分析。该边界可以避免使用测试真值直接帮助本文方法。</w:t>
      </w:r>
    </w:p>
    <w:p>
      <w:pPr>
        <w:pStyle w:val="Heading2"/>
        <w:keepNext/>
        <w:spacing w:before="100" w:after="80"/>
      </w:pPr>
      <w:r>
        <w:rPr>
          <w:rFonts w:ascii="Noto Serif CJK SC" w:hAnsi="Noto Serif CJK SC" w:eastAsia="Noto Serif CJK SC"/>
          <w:b/>
          <w:i w:val="0"/>
          <w:color w:val="1F4E79"/>
          <w:sz w:val="26"/>
        </w:rPr>
        <w:t>III-I. Receding-Horizon Solution and Command Generation</w:t>
      </w:r>
    </w:p>
    <w:p>
      <w:pPr>
        <w:keepNext w:val="0"/>
        <w:spacing w:before="0" w:after="80" w:line="283" w:lineRule="auto"/>
      </w:pPr>
      <w:r>
        <w:rPr>
          <w:rFonts w:ascii="Noto Sans CJK SC" w:hAnsi="Noto Sans CJK SC" w:eastAsia="Noto Sans CJK SC"/>
          <w:b w:val="0"/>
          <w:i w:val="0"/>
          <w:sz w:val="21"/>
        </w:rPr>
        <w:t>连续增广动力学由 CasADi 建模并通过 acados 生成非线性 OCP 求解器。每个控制周期，当前机器人状态、路径投影进度、液体状态、局部参考多项式和权重被写入 OCP。acados 使用 SQP-RTI、ERK 数值积分和 HPIPM QP 子问题求解得到局部最优预测序列。</w:t>
      </w:r>
    </w:p>
    <w:p>
      <w:pPr>
        <w:keepLines/>
        <w:spacing w:before="60" w:after="80"/>
        <w:jc w:val="center"/>
      </w:pPr>
      <w:r>
        <w:rPr>
          <w:rFonts w:ascii="Cambria Math" w:hAnsi="Cambria Math" w:eastAsia="Noto Serif CJK SC"/>
          <w:b w:val="0"/>
          <w:i w:val="0"/>
          <w:sz w:val="23"/>
        </w:rPr>
        <w:t>x*₀:N, u*₀:N−1 = arg min J  subject to  x_{k+1}=F_Δt(x_k,u_k), x₀=x_obs</w:t>
      </w:r>
      <w:r>
        <w:rPr>
          <w:rFonts w:ascii="Cambria Math" w:hAnsi="Cambria Math" w:eastAsia="Noto Serif CJK SC"/>
          <w:b w:val="0"/>
          <w:i w:val="0"/>
          <w:sz w:val="20"/>
        </w:rPr>
        <w:t xml:space="preserve">    (28)</w:t>
      </w:r>
    </w:p>
    <w:p>
      <w:pPr>
        <w:keepNext w:val="0"/>
        <w:spacing w:before="0" w:after="80" w:line="283" w:lineRule="auto"/>
      </w:pPr>
      <w:r>
        <w:rPr>
          <w:rFonts w:ascii="Noto Sans CJK SC" w:hAnsi="Noto Sans CJK SC" w:eastAsia="Noto Sans CJK SC"/>
          <w:b w:val="0"/>
          <w:i w:val="0"/>
          <w:sz w:val="21"/>
        </w:rPr>
        <w:t>系统只执行第一步控制：</w:t>
      </w:r>
    </w:p>
    <w:p>
      <w:pPr>
        <w:keepLines/>
        <w:spacing w:before="60" w:after="80"/>
        <w:jc w:val="center"/>
      </w:pPr>
      <w:r>
        <w:rPr>
          <w:rFonts w:ascii="Cambria Math" w:hAnsi="Cambria Math" w:eastAsia="Noto Serif CJK SC"/>
          <w:b w:val="0"/>
          <w:i w:val="0"/>
          <w:sz w:val="23"/>
        </w:rPr>
        <w:t>v_cmd = clamp(v_meas + a*₀Δt, 0, v_max)</w:t>
      </w:r>
      <w:r>
        <w:rPr>
          <w:rFonts w:ascii="Cambria Math" w:hAnsi="Cambria Math" w:eastAsia="Noto Serif CJK SC"/>
          <w:b w:val="0"/>
          <w:i w:val="0"/>
          <w:sz w:val="20"/>
        </w:rPr>
        <w:t xml:space="preserve">    (29)</w:t>
      </w:r>
    </w:p>
    <w:p>
      <w:pPr>
        <w:keepLines/>
        <w:spacing w:before="60" w:after="80"/>
        <w:jc w:val="center"/>
      </w:pPr>
      <w:r>
        <w:rPr>
          <w:rFonts w:ascii="Cambria Math" w:hAnsi="Cambria Math" w:eastAsia="Noto Serif CJK SC"/>
          <w:b w:val="0"/>
          <w:i w:val="0"/>
          <w:sz w:val="23"/>
        </w:rPr>
        <w:t>ω_cmd = clamp(ω_meas + α*₀Δt, −ω_max, ω_max)</w:t>
      </w:r>
      <w:r>
        <w:rPr>
          <w:rFonts w:ascii="Cambria Math" w:hAnsi="Cambria Math" w:eastAsia="Noto Serif CJK SC"/>
          <w:b w:val="0"/>
          <w:i w:val="0"/>
          <w:sz w:val="20"/>
        </w:rPr>
        <w:t xml:space="preserve">    (30)</w:t>
      </w:r>
    </w:p>
    <w:p>
      <w:pPr>
        <w:keepNext w:val="0"/>
        <w:spacing w:before="0" w:after="80" w:line="283" w:lineRule="auto"/>
      </w:pPr>
      <w:r>
        <w:rPr>
          <w:rFonts w:ascii="Noto Sans CJK SC" w:hAnsi="Noto Sans CJK SC" w:eastAsia="Noto Sans CJK SC"/>
          <w:b w:val="0"/>
          <w:i w:val="0"/>
          <w:sz w:val="21"/>
        </w:rPr>
        <w:t>其余预测状态用于局部轨迹发布、诊断和下一周期 warm start。终点减速、到点判定和共享命令安全限制位于 OCP 外的执行监督层，不作为本文主要理论贡献。</w:t>
      </w:r>
    </w:p>
    <w:p>
      <w:pPr>
        <w:pStyle w:val="Heading2"/>
        <w:keepNext/>
        <w:spacing w:before="100" w:after="80"/>
      </w:pPr>
      <w:r>
        <w:rPr>
          <w:rFonts w:ascii="Noto Serif CJK SC" w:hAnsi="Noto Serif CJK SC" w:eastAsia="Noto Serif CJK SC"/>
          <w:b/>
          <w:i w:val="0"/>
          <w:color w:val="1F4E79"/>
          <w:sz w:val="26"/>
        </w:rPr>
        <w:t>III-J. Method Variants for Same-Framework Ablation</w:t>
      </w:r>
    </w:p>
    <w:p>
      <w:pPr>
        <w:keepNext w:val="0"/>
        <w:spacing w:before="0" w:after="80" w:line="283" w:lineRule="auto"/>
      </w:pPr>
      <w:r>
        <w:rPr>
          <w:rFonts w:ascii="Noto Sans CJK SC" w:hAnsi="Noto Sans CJK SC" w:eastAsia="Noto Sans CJK SC"/>
          <w:b w:val="0"/>
          <w:i w:val="0"/>
          <w:sz w:val="21"/>
        </w:rPr>
        <w:t>为隔离显式液体预测和一般控制平滑的作用，在完全相同的 continuous MPCC backend 下构造四个变体：</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1247"/>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变体</w:t>
            </w:r>
          </w:p>
        </w:tc>
        <w:tc>
          <w:tcPr>
            <w:tcW w:type="dxa" w:w="226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状态模型</w:t>
            </w:r>
          </w:p>
        </w:tc>
        <w:tc>
          <w:tcPr>
            <w:tcW w:type="dxa" w:w="170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slosh cost</w:t>
            </w:r>
          </w:p>
        </w:tc>
        <w:tc>
          <w:tcPr>
            <w:tcW w:type="dxa" w:w="170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smooth/control</w:t>
            </w:r>
          </w:p>
        </w:tc>
        <w:tc>
          <w:tcPr>
            <w:tcW w:type="dxa" w:w="249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解释</w:t>
            </w:r>
          </w:p>
        </w:tc>
      </w:tr>
      <w:tr>
        <w:tc>
          <w:tcPr>
            <w:tcW w:type="dxa" w:w="1247"/>
            <w:vAlign w:val="center"/>
            <w:tcMar>
              <w:top w:w="80" w:type="dxa"/>
              <w:start w:w="90" w:type="dxa"/>
              <w:bottom w:w="80" w:type="dxa"/>
              <w:end w:w="90" w:type="dxa"/>
            </w:tcMar>
          </w:tcPr>
          <w:p>
            <w:pPr>
              <w:spacing w:after="0"/>
            </w:pPr>
            <w:r>
              <w:rPr>
                <w:rFonts w:ascii="Noto Sans CJK SC" w:hAnsi="Noto Sans CJK SC" w:eastAsia="Noto Sans CJK SC"/>
                <w:b w:val="0"/>
                <w:i w:val="0"/>
                <w:sz w:val="17"/>
              </w:rPr>
              <w:t>B0</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7"/>
              </w:rPr>
              <w:t>6D robot/progress</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无</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弱</w:t>
            </w:r>
          </w:p>
        </w:tc>
        <w:tc>
          <w:tcPr>
            <w:tcW w:type="dxa" w:w="2494"/>
            <w:vAlign w:val="center"/>
            <w:tcMar>
              <w:top w:w="80" w:type="dxa"/>
              <w:start w:w="90" w:type="dxa"/>
              <w:bottom w:w="80" w:type="dxa"/>
              <w:end w:w="90" w:type="dxa"/>
            </w:tcMar>
          </w:tcPr>
          <w:p>
            <w:pPr>
              <w:spacing w:after="0"/>
            </w:pPr>
            <w:r>
              <w:rPr>
                <w:rFonts w:ascii="Noto Sans CJK SC" w:hAnsi="Noto Sans CJK SC" w:eastAsia="Noto Sans CJK SC"/>
                <w:b w:val="0"/>
                <w:i w:val="0"/>
                <w:sz w:val="17"/>
              </w:rPr>
              <w:t>普通 alpha-state MPCC</w:t>
            </w:r>
          </w:p>
        </w:tc>
      </w:tr>
      <w:tr>
        <w:tc>
          <w:tcPr>
            <w:tcW w:type="dxa" w:w="124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B_slosh</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10D augmented</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有</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弱</w:t>
            </w:r>
          </w:p>
        </w:tc>
        <w:tc>
          <w:tcPr>
            <w:tcW w:type="dxa" w:w="249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slosh-cost-only</w:t>
            </w:r>
          </w:p>
        </w:tc>
      </w:tr>
      <w:tr>
        <w:tc>
          <w:tcPr>
            <w:tcW w:type="dxa" w:w="1247"/>
            <w:vAlign w:val="center"/>
            <w:tcMar>
              <w:top w:w="80" w:type="dxa"/>
              <w:start w:w="90" w:type="dxa"/>
              <w:bottom w:w="80" w:type="dxa"/>
              <w:end w:w="90" w:type="dxa"/>
            </w:tcMar>
          </w:tcPr>
          <w:p>
            <w:pPr>
              <w:spacing w:after="0"/>
            </w:pPr>
            <w:r>
              <w:rPr>
                <w:rFonts w:ascii="Noto Sans CJK SC" w:hAnsi="Noto Sans CJK SC" w:eastAsia="Noto Sans CJK SC"/>
                <w:b w:val="0"/>
                <w:i w:val="0"/>
                <w:sz w:val="17"/>
              </w:rPr>
              <w:t>B_smooth</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7"/>
              </w:rPr>
              <w:t>6D robot/progress</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无</w:t>
            </w:r>
          </w:p>
        </w:tc>
        <w:tc>
          <w:tcPr>
            <w:tcW w:type="dxa" w:w="1701"/>
            <w:vAlign w:val="center"/>
            <w:tcMar>
              <w:top w:w="80" w:type="dxa"/>
              <w:start w:w="90" w:type="dxa"/>
              <w:bottom w:w="80" w:type="dxa"/>
              <w:end w:w="90" w:type="dxa"/>
            </w:tcMar>
          </w:tcPr>
          <w:p>
            <w:pPr>
              <w:spacing w:after="0"/>
            </w:pPr>
            <w:r>
              <w:rPr>
                <w:rFonts w:ascii="Noto Sans CJK SC" w:hAnsi="Noto Sans CJK SC" w:eastAsia="Noto Sans CJK SC"/>
                <w:b w:val="0"/>
                <w:i w:val="0"/>
                <w:sz w:val="17"/>
              </w:rPr>
              <w:t>强</w:t>
            </w:r>
          </w:p>
        </w:tc>
        <w:tc>
          <w:tcPr>
            <w:tcW w:type="dxa" w:w="2494"/>
            <w:vAlign w:val="center"/>
            <w:tcMar>
              <w:top w:w="80" w:type="dxa"/>
              <w:start w:w="90" w:type="dxa"/>
              <w:bottom w:w="80" w:type="dxa"/>
              <w:end w:w="90" w:type="dxa"/>
            </w:tcMar>
          </w:tcPr>
          <w:p>
            <w:pPr>
              <w:spacing w:after="0"/>
            </w:pPr>
            <w:r>
              <w:rPr>
                <w:rFonts w:ascii="Noto Sans CJK SC" w:hAnsi="Noto Sans CJK SC" w:eastAsia="Noto Sans CJK SC"/>
                <w:b w:val="0"/>
                <w:i w:val="0"/>
                <w:sz w:val="17"/>
              </w:rPr>
              <w:t>smooth-only</w:t>
            </w:r>
          </w:p>
        </w:tc>
      </w:tr>
      <w:tr>
        <w:tc>
          <w:tcPr>
            <w:tcW w:type="dxa" w:w="1247"/>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B_ours</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10D augmented</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有</w:t>
            </w:r>
          </w:p>
        </w:tc>
        <w:tc>
          <w:tcPr>
            <w:tcW w:type="dxa" w:w="170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强</w:t>
            </w:r>
          </w:p>
        </w:tc>
        <w:tc>
          <w:tcPr>
            <w:tcW w:type="dxa" w:w="249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最终方法</w:t>
            </w:r>
          </w:p>
        </w:tc>
      </w:tr>
    </w:tbl>
    <w:p>
      <w:pPr>
        <w:spacing w:after="0"/>
      </w:pPr>
    </w:p>
    <w:p>
      <w:pPr>
        <w:keepNext w:val="0"/>
        <w:spacing w:before="0" w:after="80" w:line="283" w:lineRule="auto"/>
      </w:pPr>
      <w:r>
        <w:rPr>
          <w:rFonts w:ascii="Noto Sans CJK SC" w:hAnsi="Noto Sans CJK SC" w:eastAsia="Noto Sans CJK SC"/>
          <w:b w:val="0"/>
          <w:i w:val="0"/>
          <w:sz w:val="21"/>
        </w:rPr>
        <w:t>本小节可放在 Method 末尾，也可移动到 Experimental Setup。若 RA-L 篇幅紧，正文仅用一张紧凑表定义四个变体。</w:t>
      </w:r>
    </w:p>
    <w:p>
      <w:pPr>
        <w:pStyle w:val="Heading2"/>
        <w:keepNext/>
        <w:spacing w:before="100" w:after="80"/>
      </w:pPr>
      <w:r>
        <w:rPr>
          <w:rFonts w:ascii="Noto Serif CJK SC" w:hAnsi="Noto Serif CJK SC" w:eastAsia="Noto Serif CJK SC"/>
          <w:b/>
          <w:i w:val="0"/>
          <w:color w:val="1F4E79"/>
          <w:sz w:val="26"/>
        </w:rPr>
        <w:t>3.1 Method 中必须保持的代码一致性边界</w:t>
      </w:r>
    </w:p>
    <w:p>
      <w:pPr>
        <w:pStyle w:val="ListBullet"/>
        <w:spacing w:after="40" w:line="269" w:lineRule="auto"/>
      </w:pPr>
      <w:r>
        <w:rPr>
          <w:rFonts w:ascii="Noto Sans CJK SC" w:hAnsi="Noto Sans CJK SC" w:eastAsia="Noto Sans CJK SC"/>
          <w:b w:val="0"/>
          <w:i w:val="0"/>
          <w:sz w:val="21"/>
        </w:rPr>
        <w:t>ReferenceSpline 当前不是严格 C² spline，而是 ReferencePath 包装；连续 solver 另外用 12 个局部样本拟合三次多项式。正文可称 “local polynomial reference”，不要过度声称解析 spline。</w:t>
      </w:r>
    </w:p>
    <w:p>
      <w:pPr>
        <w:pStyle w:val="ListBullet"/>
        <w:spacing w:after="40" w:line="269" w:lineRule="auto"/>
      </w:pPr>
      <w:r>
        <w:rPr>
          <w:rFonts w:ascii="Noto Sans CJK SC" w:hAnsi="Noto Sans CJK SC" w:eastAsia="Noto Sans CJK SC"/>
          <w:b w:val="0"/>
          <w:i w:val="0"/>
          <w:sz w:val="21"/>
        </w:rPr>
        <w:t>slosh cost 使用 eta 和 eta_dot；/spmpc/slosh_height 还可包含旋转抛物项，但该高度 topic 不等同于 OCP slosh cost。</w:t>
      </w:r>
    </w:p>
    <w:p>
      <w:pPr>
        <w:pStyle w:val="ListBullet"/>
        <w:spacing w:after="40" w:line="269" w:lineRule="auto"/>
      </w:pPr>
      <w:r>
        <w:rPr>
          <w:rFonts w:ascii="Noto Sans CJK SC" w:hAnsi="Noto Sans CJK SC" w:eastAsia="Noto Sans CJK SC"/>
          <w:b w:val="0"/>
          <w:i w:val="0"/>
          <w:sz w:val="21"/>
        </w:rPr>
        <w:t>smooth 不是完整 horizon Δu；只写 alpha regularization + stage-0 a/v_s cross-cycle smoothing。</w:t>
      </w:r>
    </w:p>
    <w:p>
      <w:pPr>
        <w:pStyle w:val="ListBullet"/>
        <w:spacing w:after="40" w:line="269" w:lineRule="auto"/>
      </w:pPr>
      <w:r>
        <w:rPr>
          <w:rFonts w:ascii="Noto Sans CJK SC" w:hAnsi="Noto Sans CJK SC" w:eastAsia="Noto Sans CJK SC"/>
          <w:b w:val="0"/>
          <w:i w:val="0"/>
          <w:sz w:val="21"/>
        </w:rPr>
        <w:t>continuous mainline 当前不含完整 obstacle/costmap/corridor OCP。</w:t>
      </w:r>
    </w:p>
    <w:p>
      <w:pPr>
        <w:pStyle w:val="ListBullet"/>
        <w:spacing w:after="40" w:line="269" w:lineRule="auto"/>
      </w:pPr>
      <w:r>
        <w:rPr>
          <w:rFonts w:ascii="Noto Sans CJK SC" w:hAnsi="Noto Sans CJK SC" w:eastAsia="Noto Sans CJK SC"/>
          <w:b w:val="0"/>
          <w:i w:val="0"/>
          <w:sz w:val="21"/>
        </w:rPr>
        <w:t>acados 求解的是非凸 OCP 的局部最优/实时近似解，不声称全局最优。</w:t>
      </w:r>
    </w:p>
    <w:p>
      <w:pPr>
        <w:pStyle w:val="ListBullet"/>
        <w:spacing w:after="40" w:line="269" w:lineRule="auto"/>
      </w:pPr>
      <w:r>
        <w:rPr>
          <w:rFonts w:ascii="Noto Sans CJK SC" w:hAnsi="Noto Sans CJK SC" w:eastAsia="Noto Sans CJK SC"/>
          <w:b w:val="0"/>
          <w:i w:val="0"/>
          <w:sz w:val="21"/>
        </w:rPr>
        <w:t>RGB 是实物真值/评价，不是 OCP 在线反馈。</w:t>
      </w:r>
    </w:p>
    <w:p>
      <w:pPr>
        <w:pStyle w:val="Heading1"/>
        <w:keepNext/>
        <w:spacing w:before="160" w:after="80"/>
      </w:pPr>
      <w:r>
        <w:rPr>
          <w:rFonts w:ascii="Noto Serif CJK SC" w:hAnsi="Noto Serif CJK SC" w:eastAsia="Noto Serif CJK SC"/>
          <w:b/>
          <w:i w:val="0"/>
          <w:color w:val="1F4E79"/>
          <w:sz w:val="30"/>
        </w:rPr>
        <w:t>4. Experimental Setup 与 Results 的组织建议</w:t>
      </w:r>
    </w:p>
    <w:p>
      <w:pPr>
        <w:pStyle w:val="Heading2"/>
        <w:keepNext/>
        <w:spacing w:before="100" w:after="80"/>
      </w:pPr>
      <w:r>
        <w:rPr>
          <w:rFonts w:ascii="Noto Serif CJK SC" w:hAnsi="Noto Serif CJK SC" w:eastAsia="Noto Serif CJK SC"/>
          <w:b/>
          <w:i w:val="0"/>
          <w:color w:val="1F4E79"/>
          <w:sz w:val="26"/>
        </w:rPr>
        <w:t>4.1 Experimental Setup 应写什么</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381"/>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子节</w:t>
            </w:r>
          </w:p>
        </w:tc>
        <w:tc>
          <w:tcPr>
            <w:tcW w:type="dxa" w:w="6973"/>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7"/>
              </w:rPr>
              <w:t>内容</w:t>
            </w:r>
          </w:p>
        </w:tc>
      </w:tr>
      <w:tr>
        <w:tc>
          <w:tcPr>
            <w:tcW w:type="dxa" w:w="2381"/>
            <w:vAlign w:val="center"/>
            <w:tcMar>
              <w:top w:w="80" w:type="dxa"/>
              <w:start w:w="90" w:type="dxa"/>
              <w:bottom w:w="80" w:type="dxa"/>
              <w:end w:w="90" w:type="dxa"/>
            </w:tcMar>
          </w:tcPr>
          <w:p>
            <w:pPr>
              <w:spacing w:after="0"/>
            </w:pPr>
            <w:r>
              <w:rPr>
                <w:rFonts w:ascii="Noto Sans CJK SC" w:hAnsi="Noto Sans CJK SC" w:eastAsia="Noto Sans CJK SC"/>
                <w:b w:val="0"/>
                <w:i w:val="0"/>
                <w:sz w:val="17"/>
              </w:rPr>
              <w:t>Platform and Tasks</w:t>
            </w:r>
          </w:p>
        </w:tc>
        <w:tc>
          <w:tcPr>
            <w:tcW w:type="dxa" w:w="6973"/>
            <w:vAlign w:val="center"/>
            <w:tcMar>
              <w:top w:w="80" w:type="dxa"/>
              <w:start w:w="90" w:type="dxa"/>
              <w:bottom w:w="80" w:type="dxa"/>
              <w:end w:w="90" w:type="dxa"/>
            </w:tcMar>
          </w:tcPr>
          <w:p>
            <w:pPr>
              <w:spacing w:after="0"/>
            </w:pPr>
            <w:r>
              <w:rPr>
                <w:rFonts w:ascii="Noto Sans CJK SC" w:hAnsi="Noto Sans CJK SC" w:eastAsia="Noto Sans CJK SC"/>
                <w:b w:val="0"/>
                <w:i w:val="0"/>
                <w:sz w:val="17"/>
              </w:rPr>
              <w:t>Scout Mini、容器/液位、控制频率、路径、仿真与实物场景</w:t>
            </w:r>
          </w:p>
        </w:tc>
      </w:tr>
      <w:tr>
        <w:tc>
          <w:tcPr>
            <w:tcW w:type="dxa" w:w="238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Methods</w:t>
            </w:r>
          </w:p>
        </w:tc>
        <w:tc>
          <w:tcPr>
            <w:tcW w:type="dxa" w:w="6973"/>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四个内部变体；DWA/TEB/LT-DWA(or MPC)；Hamaguchi/Lim 补充</w:t>
            </w:r>
          </w:p>
        </w:tc>
      </w:tr>
      <w:tr>
        <w:tc>
          <w:tcPr>
            <w:tcW w:type="dxa" w:w="2381"/>
            <w:vAlign w:val="center"/>
            <w:tcMar>
              <w:top w:w="80" w:type="dxa"/>
              <w:start w:w="90" w:type="dxa"/>
              <w:bottom w:w="80" w:type="dxa"/>
              <w:end w:w="90" w:type="dxa"/>
            </w:tcMar>
          </w:tcPr>
          <w:p>
            <w:pPr>
              <w:spacing w:after="0"/>
            </w:pPr>
            <w:r>
              <w:rPr>
                <w:rFonts w:ascii="Noto Sans CJK SC" w:hAnsi="Noto Sans CJK SC" w:eastAsia="Noto Sans CJK SC"/>
                <w:b w:val="0"/>
                <w:i w:val="0"/>
                <w:sz w:val="17"/>
              </w:rPr>
              <w:t>Fairness Protocol</w:t>
            </w:r>
          </w:p>
        </w:tc>
        <w:tc>
          <w:tcPr>
            <w:tcW w:type="dxa" w:w="6973"/>
            <w:vAlign w:val="center"/>
            <w:tcMar>
              <w:top w:w="80" w:type="dxa"/>
              <w:start w:w="90" w:type="dxa"/>
              <w:bottom w:w="80" w:type="dxa"/>
              <w:end w:w="90" w:type="dxa"/>
            </w:tcMar>
          </w:tcPr>
          <w:p>
            <w:pPr>
              <w:spacing w:after="0"/>
            </w:pPr>
            <w:r>
              <w:rPr>
                <w:rFonts w:ascii="Noto Sans CJK SC" w:hAnsi="Noto Sans CJK SC" w:eastAsia="Noto Sans CJK SC"/>
                <w:b w:val="0"/>
                <w:i w:val="0"/>
                <w:sz w:val="17"/>
              </w:rPr>
              <w:t>common limits、matched speed/time、参数冻结、失败计数、相同路径与终点</w:t>
            </w:r>
          </w:p>
        </w:tc>
      </w:tr>
      <w:tr>
        <w:tc>
          <w:tcPr>
            <w:tcW w:type="dxa" w:w="238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Slosh Evaluation</w:t>
            </w:r>
          </w:p>
        </w:tc>
        <w:tc>
          <w:tcPr>
            <w:tcW w:type="dxa" w:w="6973"/>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外部 /slosh/height、/spmpc/slosh_height 语义、RGB max-LCR 真值</w:t>
            </w:r>
          </w:p>
        </w:tc>
      </w:tr>
      <w:tr>
        <w:tc>
          <w:tcPr>
            <w:tcW w:type="dxa" w:w="2381"/>
            <w:vAlign w:val="center"/>
            <w:tcMar>
              <w:top w:w="80" w:type="dxa"/>
              <w:start w:w="90" w:type="dxa"/>
              <w:bottom w:w="80" w:type="dxa"/>
              <w:end w:w="90" w:type="dxa"/>
            </w:tcMar>
          </w:tcPr>
          <w:p>
            <w:pPr>
              <w:spacing w:after="0"/>
            </w:pPr>
            <w:r>
              <w:rPr>
                <w:rFonts w:ascii="Noto Sans CJK SC" w:hAnsi="Noto Sans CJK SC" w:eastAsia="Noto Sans CJK SC"/>
                <w:b w:val="0"/>
                <w:i w:val="0"/>
                <w:sz w:val="17"/>
              </w:rPr>
              <w:t>Metrics</w:t>
            </w:r>
          </w:p>
        </w:tc>
        <w:tc>
          <w:tcPr>
            <w:tcW w:type="dxa" w:w="6973"/>
            <w:vAlign w:val="center"/>
            <w:tcMar>
              <w:top w:w="80" w:type="dxa"/>
              <w:start w:w="90" w:type="dxa"/>
              <w:bottom w:w="80" w:type="dxa"/>
              <w:end w:w="90" w:type="dxa"/>
            </w:tcMar>
          </w:tcPr>
          <w:p>
            <w:pPr>
              <w:spacing w:after="0"/>
            </w:pPr>
            <w:r>
              <w:rPr>
                <w:rFonts w:ascii="Noto Sans CJK SC" w:hAnsi="Noto Sans CJK SC" w:eastAsia="Noto Sans CJK SC"/>
                <w:b w:val="0"/>
                <w:i w:val="0"/>
                <w:sz w:val="17"/>
              </w:rPr>
              <w:t>success/time/tracking/slosh/control safety/compute time</w:t>
            </w:r>
          </w:p>
        </w:tc>
      </w:tr>
      <w:tr>
        <w:tc>
          <w:tcPr>
            <w:tcW w:type="dxa" w:w="2381"/>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Windowing</w:t>
            </w:r>
          </w:p>
        </w:tc>
        <w:tc>
          <w:tcPr>
            <w:tcW w:type="dxa" w:w="6973"/>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7"/>
              </w:rPr>
              <w:t>START/TRACKING/TERMINAL/REACHED；剔除 REACHED tail</w:t>
            </w:r>
          </w:p>
        </w:tc>
      </w:tr>
    </w:tbl>
    <w:p>
      <w:pPr>
        <w:spacing w:after="0"/>
      </w:pPr>
    </w:p>
    <w:p>
      <w:pPr>
        <w:pStyle w:val="Heading2"/>
        <w:keepNext/>
        <w:spacing w:before="100" w:after="80"/>
      </w:pPr>
      <w:r>
        <w:rPr>
          <w:rFonts w:ascii="Noto Serif CJK SC" w:hAnsi="Noto Serif CJK SC" w:eastAsia="Noto Serif CJK SC"/>
          <w:b/>
          <w:i w:val="0"/>
          <w:color w:val="1F4E79"/>
          <w:sz w:val="26"/>
        </w:rPr>
        <w:t>4.2 Results 建议按 Claim 排列</w:t>
      </w:r>
    </w:p>
    <w:p>
      <w:pPr>
        <w:spacing w:after="40"/>
        <w:ind w:left="312" w:hanging="255"/>
      </w:pPr>
      <w:r>
        <w:rPr>
          <w:rFonts w:ascii="Noto Sans CJK SC" w:hAnsi="Noto Sans CJK SC" w:eastAsia="Noto Sans CJK SC"/>
          <w:b w:val="0"/>
          <w:i w:val="0"/>
          <w:sz w:val="21"/>
        </w:rPr>
        <w:t xml:space="preserve">1. </w:t>
      </w:r>
      <w:r>
        <w:rPr>
          <w:rFonts w:ascii="Noto Sans CJK SC" w:hAnsi="Noto Sans CJK SC" w:eastAsia="Noto Sans CJK SC"/>
          <w:b w:val="0"/>
          <w:i w:val="0"/>
          <w:sz w:val="21"/>
        </w:rPr>
        <w:t>Ablation：先报 B0/B_slosh/B_smooth/B_ours，重点解释 B_ours vs B_smooth。</w:t>
      </w:r>
    </w:p>
    <w:p>
      <w:pPr>
        <w:spacing w:after="40"/>
        <w:ind w:left="312" w:hanging="255"/>
      </w:pPr>
      <w:r>
        <w:rPr>
          <w:rFonts w:ascii="Noto Sans CJK SC" w:hAnsi="Noto Sans CJK SC" w:eastAsia="Noto Sans CJK SC"/>
          <w:b w:val="0"/>
          <w:i w:val="0"/>
          <w:sz w:val="21"/>
        </w:rPr>
        <w:t xml:space="preserve">2. </w:t>
      </w:r>
      <w:r>
        <w:rPr>
          <w:rFonts w:ascii="Noto Sans CJK SC" w:hAnsi="Noto Sans CJK SC" w:eastAsia="Noto Sans CJK SC"/>
          <w:b w:val="0"/>
          <w:i w:val="0"/>
          <w:sz w:val="21"/>
        </w:rPr>
        <w:t>Local-planner comparison：在 common-limit 和 matched-speed/time 两种协议下比较 DWA/TEB/LT-DWA(or MPC)/B_ours。</w:t>
      </w:r>
    </w:p>
    <w:p>
      <w:pPr>
        <w:spacing w:after="40"/>
        <w:ind w:left="312" w:hanging="255"/>
      </w:pPr>
      <w:r>
        <w:rPr>
          <w:rFonts w:ascii="Noto Sans CJK SC" w:hAnsi="Noto Sans CJK SC" w:eastAsia="Noto Sans CJK SC"/>
          <w:b w:val="0"/>
          <w:i w:val="0"/>
          <w:sz w:val="21"/>
        </w:rPr>
        <w:t xml:space="preserve">3. </w:t>
      </w:r>
      <w:r>
        <w:rPr>
          <w:rFonts w:ascii="Noto Sans CJK SC" w:hAnsi="Noto Sans CJK SC" w:eastAsia="Noto Sans CJK SC"/>
          <w:b w:val="0"/>
          <w:i w:val="0"/>
          <w:sz w:val="21"/>
        </w:rPr>
        <w:t>Real-robot RGB：报告 RGB peak/p95/RMS/AUC、tracking、完成时间及控制安全。</w:t>
      </w:r>
    </w:p>
    <w:p>
      <w:pPr>
        <w:spacing w:after="40"/>
        <w:ind w:left="312" w:hanging="255"/>
      </w:pPr>
      <w:r>
        <w:rPr>
          <w:rFonts w:ascii="Noto Sans CJK SC" w:hAnsi="Noto Sans CJK SC" w:eastAsia="Noto Sans CJK SC"/>
          <w:b w:val="0"/>
          <w:i w:val="0"/>
          <w:sz w:val="21"/>
        </w:rPr>
        <w:t xml:space="preserve">4. </w:t>
      </w:r>
      <w:r>
        <w:rPr>
          <w:rFonts w:ascii="Noto Sans CJK SC" w:hAnsi="Noto Sans CJK SC" w:eastAsia="Noto Sans CJK SC"/>
          <w:b w:val="0"/>
          <w:i w:val="0"/>
          <w:sz w:val="21"/>
        </w:rPr>
        <w:t>Model fidelity：说明模型 proxy 对 p95/peak 的近似能力和整体低估/相位局限，避免模型自证。</w:t>
      </w:r>
    </w:p>
    <w:p>
      <w:pPr>
        <w:spacing w:after="40"/>
        <w:ind w:left="312" w:hanging="255"/>
      </w:pPr>
      <w:r>
        <w:rPr>
          <w:rFonts w:ascii="Noto Sans CJK SC" w:hAnsi="Noto Sans CJK SC" w:eastAsia="Noto Sans CJK SC"/>
          <w:b w:val="0"/>
          <w:i w:val="0"/>
          <w:sz w:val="21"/>
        </w:rPr>
        <w:t xml:space="preserve">5. </w:t>
      </w:r>
      <w:r>
        <w:rPr>
          <w:rFonts w:ascii="Noto Sans CJK SC" w:hAnsi="Noto Sans CJK SC" w:eastAsia="Noto Sans CJK SC"/>
          <w:b w:val="0"/>
          <w:i w:val="0"/>
          <w:sz w:val="21"/>
        </w:rPr>
        <w:t>Discussion：解释 B_slosh-only 可能诱发速度调制、sim-to-real mismatch、当前 fixed-path/无完整避障边界。</w:t>
      </w:r>
    </w:p>
    <w:p>
      <w:pPr>
        <w:pStyle w:val="Heading2"/>
        <w:keepNext/>
        <w:spacing w:before="100" w:after="80"/>
      </w:pPr>
      <w:r>
        <w:rPr>
          <w:rFonts w:ascii="Noto Serif CJK SC" w:hAnsi="Noto Serif CJK SC" w:eastAsia="Noto Serif CJK SC"/>
          <w:b/>
          <w:i w:val="0"/>
          <w:color w:val="1F4E79"/>
          <w:sz w:val="26"/>
        </w:rPr>
        <w:t>4.3 论文主表的最小指标</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181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8"/>
              </w:rPr>
              <w:t>类别</w:t>
            </w:r>
          </w:p>
        </w:tc>
        <w:tc>
          <w:tcPr>
            <w:tcW w:type="dxa" w:w="7540"/>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8"/>
              </w:rPr>
              <w:t>指标</w:t>
            </w:r>
          </w:p>
        </w:tc>
      </w:tr>
      <w:tr>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8"/>
              </w:rPr>
              <w:t>任务</w:t>
            </w:r>
          </w:p>
        </w:tc>
        <w:tc>
          <w:tcPr>
            <w:tcW w:type="dxa" w:w="7540"/>
            <w:vAlign w:val="center"/>
            <w:tcMar>
              <w:top w:w="80" w:type="dxa"/>
              <w:start w:w="90" w:type="dxa"/>
              <w:bottom w:w="80" w:type="dxa"/>
              <w:end w:w="90" w:type="dxa"/>
            </w:tcMar>
          </w:tcPr>
          <w:p>
            <w:pPr>
              <w:spacing w:after="0"/>
            </w:pPr>
            <w:r>
              <w:rPr>
                <w:rFonts w:ascii="Noto Sans CJK SC" w:hAnsi="Noto Sans CJK SC" w:eastAsia="Noto Sans CJK SC"/>
                <w:b w:val="0"/>
                <w:i w:val="0"/>
                <w:sz w:val="18"/>
              </w:rPr>
              <w:t>success rate, first-goal time</w:t>
            </w:r>
          </w:p>
        </w:tc>
      </w:tr>
      <w:tr>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8"/>
              </w:rPr>
              <w:t>跟踪</w:t>
            </w:r>
          </w:p>
        </w:tc>
        <w:tc>
          <w:tcPr>
            <w:tcW w:type="dxa" w:w="7540"/>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8"/>
              </w:rPr>
              <w:t>contour RMS/max, yaw RMS, path length</w:t>
            </w:r>
          </w:p>
        </w:tc>
      </w:tr>
      <w:tr>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8"/>
              </w:rPr>
              <w:t>液体</w:t>
            </w:r>
          </w:p>
        </w:tc>
        <w:tc>
          <w:tcPr>
            <w:tcW w:type="dxa" w:w="7540"/>
            <w:vAlign w:val="center"/>
            <w:tcMar>
              <w:top w:w="80" w:type="dxa"/>
              <w:start w:w="90" w:type="dxa"/>
              <w:bottom w:w="80" w:type="dxa"/>
              <w:end w:w="90" w:type="dxa"/>
            </w:tcMar>
          </w:tcPr>
          <w:p>
            <w:pPr>
              <w:spacing w:after="0"/>
            </w:pPr>
            <w:r>
              <w:rPr>
                <w:rFonts w:ascii="Noto Sans CJK SC" w:hAnsi="Noto Sans CJK SC" w:eastAsia="Noto Sans CJK SC"/>
                <w:b w:val="0"/>
                <w:i w:val="0"/>
                <w:sz w:val="18"/>
              </w:rPr>
              <w:t>RGB or unified monitor peak, p95, RMS, AUC</w:t>
            </w:r>
          </w:p>
        </w:tc>
      </w:tr>
      <w:tr>
        <w:tc>
          <w:tcPr>
            <w:tcW w:type="dxa" w:w="181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8"/>
              </w:rPr>
              <w:t>控制</w:t>
            </w:r>
          </w:p>
        </w:tc>
        <w:tc>
          <w:tcPr>
            <w:tcW w:type="dxa" w:w="7540"/>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8"/>
              </w:rPr>
              <w:t>|dv/dt| p95/max, |dω/dt| p95/max, clamp ratio</w:t>
            </w:r>
          </w:p>
        </w:tc>
      </w:tr>
      <w:tr>
        <w:tc>
          <w:tcPr>
            <w:tcW w:type="dxa" w:w="1814"/>
            <w:vAlign w:val="center"/>
            <w:tcMar>
              <w:top w:w="80" w:type="dxa"/>
              <w:start w:w="90" w:type="dxa"/>
              <w:bottom w:w="80" w:type="dxa"/>
              <w:end w:w="90" w:type="dxa"/>
            </w:tcMar>
          </w:tcPr>
          <w:p>
            <w:pPr>
              <w:spacing w:after="0"/>
            </w:pPr>
            <w:r>
              <w:rPr>
                <w:rFonts w:ascii="Noto Sans CJK SC" w:hAnsi="Noto Sans CJK SC" w:eastAsia="Noto Sans CJK SC"/>
                <w:b w:val="0"/>
                <w:i w:val="0"/>
                <w:sz w:val="18"/>
              </w:rPr>
              <w:t>计算</w:t>
            </w:r>
          </w:p>
        </w:tc>
        <w:tc>
          <w:tcPr>
            <w:tcW w:type="dxa" w:w="7540"/>
            <w:vAlign w:val="center"/>
            <w:tcMar>
              <w:top w:w="80" w:type="dxa"/>
              <w:start w:w="90" w:type="dxa"/>
              <w:bottom w:w="80" w:type="dxa"/>
              <w:end w:w="90" w:type="dxa"/>
            </w:tcMar>
          </w:tcPr>
          <w:p>
            <w:pPr>
              <w:spacing w:after="0"/>
            </w:pPr>
            <w:r>
              <w:rPr>
                <w:rFonts w:ascii="Noto Sans CJK SC" w:hAnsi="Noto Sans CJK SC" w:eastAsia="Noto Sans CJK SC"/>
                <w:b w:val="0"/>
                <w:i w:val="0"/>
                <w:sz w:val="18"/>
              </w:rPr>
              <w:t>mean/p95/max solve time, deadline miss rate</w:t>
            </w:r>
          </w:p>
        </w:tc>
      </w:tr>
    </w:tbl>
    <w:p>
      <w:pPr>
        <w:spacing w:after="0"/>
      </w:pPr>
    </w:p>
    <w:p>
      <w:pPr>
        <w:pStyle w:val="Heading1"/>
        <w:keepNext/>
        <w:spacing w:before="160" w:after="80"/>
      </w:pPr>
      <w:r>
        <w:rPr>
          <w:rFonts w:ascii="Noto Serif CJK SC" w:hAnsi="Noto Serif CJK SC" w:eastAsia="Noto Serif CJK SC"/>
          <w:b/>
          <w:i w:val="0"/>
          <w:color w:val="1F4E79"/>
          <w:sz w:val="30"/>
        </w:rPr>
        <w:t>5. 参考文献池与“我们参考了什么”</w:t>
      </w:r>
    </w:p>
    <w:p>
      <w:pPr>
        <w:keepNext w:val="0"/>
        <w:spacing w:before="0" w:after="80" w:line="283" w:lineRule="auto"/>
      </w:pPr>
      <w:r>
        <w:rPr>
          <w:rFonts w:ascii="Noto Sans CJK SC" w:hAnsi="Noto Sans CJK SC" w:eastAsia="Noto Sans CJK SC"/>
          <w:b w:val="0"/>
          <w:i w:val="0"/>
          <w:sz w:val="21"/>
        </w:rPr>
        <w:t>下表将文献分为直接方法依据、液体防晃 related work、local-planner baseline 和实现工具。正式论文中应避免把 related work 误写成直接模型来源。</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26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5"/>
              </w:rPr>
              <w:t>文献</w:t>
            </w:r>
          </w:p>
        </w:tc>
        <w:tc>
          <w:tcPr>
            <w:tcW w:type="dxa" w:w="2324"/>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5"/>
              </w:rPr>
              <w:t>本项目中的角色</w:t>
            </w:r>
          </w:p>
        </w:tc>
        <w:tc>
          <w:tcPr>
            <w:tcW w:type="dxa" w:w="294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5"/>
              </w:rPr>
              <w:t>参考内容</w:t>
            </w:r>
          </w:p>
        </w:tc>
        <w:tc>
          <w:tcPr>
            <w:tcW w:type="dxa" w:w="2268"/>
            <w:shd w:fill="1F4E79"/>
            <w:vAlign w:val="center"/>
            <w:tcMar>
              <w:top w:w="80" w:type="dxa"/>
              <w:start w:w="90" w:type="dxa"/>
              <w:bottom w:w="80" w:type="dxa"/>
              <w:end w:w="90" w:type="dxa"/>
            </w:tcMar>
          </w:tcPr>
          <w:p>
            <w:pPr>
              <w:jc w:val="center"/>
            </w:pPr>
            <w:r>
              <w:rPr>
                <w:rFonts w:ascii="Noto Sans CJK SC" w:hAnsi="Noto Sans CJK SC" w:eastAsia="Noto Sans CJK SC"/>
                <w:b/>
                <w:i w:val="0"/>
                <w:color w:val="FFFFFF"/>
                <w:sz w:val="15"/>
              </w:rPr>
              <w:t>使用边界</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Liniger et al., 2015</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MPCC 的 contour/lag/progress 基础</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参考路径参数化、路径进度状态和 contouring formulation</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不直接复制赛车动力学或约束</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Brito et al., RA-L 2019</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移动机器人 MPCC local planning</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证明 MPCC 可用于移动机器人局部规划控制</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本文当前不复现其动态障碍 collision constraints</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Lyons &amp; Ferranti, ICRA 2023</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曲率感知 MPCC</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启发曲率相关参考速度与急弯处理</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不声称复现 CA-MPCC 全部设计</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Di Leva et al., MSD 2022</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液体晃动高度模型与实验校验</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二阶主模态、参数与 model-vs-experiment 思路</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RGB 真值和本文 observer 仍需独立校验</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Muchacho et al., IROS 2022</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slosh-free trajectory optimization</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显式液体模型进入机器人运动优化</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平台是机械臂，不作为同层 local planner</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Ferrari et al., RA-L 2026</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受液面阈值约束的时间最优防晃轨迹</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anti-slosh constrained optimization、model–experiment validation 参考</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SCARA/多容器，不是本文方法复现；gamma 若自定义应写 Ferrari-inspired</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Hamaguchi &amp; Taniguchi, IROS 2004 / JRM 2005</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轮式机器人液体运输与 input shaping</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最接近传统 WMR 防晃场景；用于 Hamaguchi-inspired baseline</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固定路径实验只复现速度/加速度整形，不称完整复现</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Lim et al., ICCAS 2024</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移动机器人 + spherical pendulum 2D trajectory optimization</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新近 mobile-robot anti-slosh trajectory optimization 对照</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离线轨迹优化，不是在线 local planner；若只做 retiming 必须标 inspired</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Choi et al., RAS 2024</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food-serving robot 的 sloshing suppression</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应用场景 related work</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未确认可公平移植前不作为主 baseline</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Fox et al., 1997</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DWA</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经典速度空间采样 baseline</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不代表现代预测控制</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Rösmann et al., ECMR 2013</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TEB</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优化式局部轨迹 baseline</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其主要目标包含避障与时间优化，不含 slosh</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Jian et al., RA-L 2023</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LT-DWA</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现代 DWA-based long-horizon seed + graph optimization baseline</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必须使用官方完整管线并通过 tracking Gate</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Rösmann et al., ECC 2021</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mpc_local_planner</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普通 ROS1 NMPC local planner baseline</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无 slosh state，用于方法接近的外部对比</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de Groot et al., T-RO 2025</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多拓扑并行轨迹优化</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非凸局部最优与多候选架构 related work</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当前 SPMPC 不复现其多拓扑动态避障</w:t>
            </w:r>
          </w:p>
        </w:tc>
      </w:tr>
      <w:tr>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Verschueren et al., MPC 2022</w:t>
            </w:r>
          </w:p>
        </w:tc>
        <w:tc>
          <w:tcPr>
            <w:tcW w:type="dxa" w:w="2324"/>
            <w:vAlign w:val="center"/>
            <w:tcMar>
              <w:top w:w="80" w:type="dxa"/>
              <w:start w:w="90" w:type="dxa"/>
              <w:bottom w:w="80" w:type="dxa"/>
              <w:end w:w="90" w:type="dxa"/>
            </w:tcMar>
          </w:tcPr>
          <w:p>
            <w:pPr>
              <w:spacing w:after="0"/>
            </w:pPr>
            <w:r>
              <w:rPr>
                <w:rFonts w:ascii="Noto Sans CJK SC" w:hAnsi="Noto Sans CJK SC" w:eastAsia="Noto Sans CJK SC"/>
                <w:b w:val="0"/>
                <w:i w:val="0"/>
                <w:sz w:val="15"/>
              </w:rPr>
              <w:t>acados</w:t>
            </w:r>
          </w:p>
        </w:tc>
        <w:tc>
          <w:tcPr>
            <w:tcW w:type="dxa" w:w="2948"/>
            <w:vAlign w:val="center"/>
            <w:tcMar>
              <w:top w:w="80" w:type="dxa"/>
              <w:start w:w="90" w:type="dxa"/>
              <w:bottom w:w="80" w:type="dxa"/>
              <w:end w:w="90" w:type="dxa"/>
            </w:tcMar>
          </w:tcPr>
          <w:p>
            <w:pPr>
              <w:spacing w:after="0"/>
            </w:pPr>
            <w:r>
              <w:rPr>
                <w:rFonts w:ascii="Noto Sans CJK SC" w:hAnsi="Noto Sans CJK SC" w:eastAsia="Noto Sans CJK SC"/>
                <w:b w:val="0"/>
                <w:i w:val="0"/>
                <w:sz w:val="15"/>
              </w:rPr>
              <w:t>实时 nonlinear OCP/SQP-RTI 实现依据</w:t>
            </w:r>
          </w:p>
        </w:tc>
        <w:tc>
          <w:tcPr>
            <w:tcW w:type="dxa" w:w="2268"/>
            <w:vAlign w:val="center"/>
            <w:tcMar>
              <w:top w:w="80" w:type="dxa"/>
              <w:start w:w="90" w:type="dxa"/>
              <w:bottom w:w="80" w:type="dxa"/>
              <w:end w:w="90" w:type="dxa"/>
            </w:tcMar>
          </w:tcPr>
          <w:p>
            <w:pPr>
              <w:spacing w:after="0"/>
            </w:pPr>
            <w:r>
              <w:rPr>
                <w:rFonts w:ascii="Noto Sans CJK SC" w:hAnsi="Noto Sans CJK SC" w:eastAsia="Noto Sans CJK SC"/>
                <w:b w:val="0"/>
                <w:i w:val="0"/>
                <w:sz w:val="15"/>
              </w:rPr>
              <w:t>求解器本身不是论文贡献</w:t>
            </w:r>
          </w:p>
        </w:tc>
      </w:tr>
      <w:tr>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Andersson et al., MPC 2019</w:t>
            </w:r>
          </w:p>
        </w:tc>
        <w:tc>
          <w:tcPr>
            <w:tcW w:type="dxa" w:w="2324"/>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CasADi</w:t>
            </w:r>
          </w:p>
        </w:tc>
        <w:tc>
          <w:tcPr>
            <w:tcW w:type="dxa" w:w="294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符号建模、自动微分和 codegen 工具</w:t>
            </w:r>
          </w:p>
        </w:tc>
        <w:tc>
          <w:tcPr>
            <w:tcW w:type="dxa" w:w="2268"/>
            <w:vAlign w:val="center"/>
            <w:tcMar>
              <w:top w:w="80" w:type="dxa"/>
              <w:start w:w="90" w:type="dxa"/>
              <w:bottom w:w="80" w:type="dxa"/>
              <w:end w:w="90" w:type="dxa"/>
            </w:tcMar>
            <w:shd w:fill="F5F8FB"/>
          </w:tcPr>
          <w:p>
            <w:pPr>
              <w:spacing w:after="0"/>
            </w:pPr>
            <w:r>
              <w:rPr>
                <w:rFonts w:ascii="Noto Sans CJK SC" w:hAnsi="Noto Sans CJK SC" w:eastAsia="Noto Sans CJK SC"/>
                <w:b w:val="0"/>
                <w:i w:val="0"/>
                <w:sz w:val="15"/>
              </w:rPr>
              <w:t>工具引用</w:t>
            </w:r>
          </w:p>
        </w:tc>
      </w:tr>
    </w:tbl>
    <w:p>
      <w:pPr>
        <w:spacing w:after="0"/>
      </w:pPr>
    </w:p>
    <w:p>
      <w:pPr>
        <w:pStyle w:val="Heading2"/>
        <w:keepNext/>
        <w:spacing w:before="100" w:after="80"/>
      </w:pPr>
      <w:r>
        <w:rPr>
          <w:rFonts w:ascii="Noto Serif CJK SC" w:hAnsi="Noto Serif CJK SC" w:eastAsia="Noto Serif CJK SC"/>
          <w:b/>
          <w:i w:val="0"/>
          <w:color w:val="1F4E79"/>
          <w:sz w:val="26"/>
        </w:rPr>
        <w:t>5.1 用户点名的三篇文献</w:t>
      </w:r>
    </w:p>
    <w:tbl>
      <w:tblPr>
        <w:tblW w:type="auto" w:w="0"/>
        <w:jc w:val="center"/>
        <w:tblLayout w:type="autofit"/>
        <w:tblLook w:firstColumn="1" w:firstRow="1" w:lastColumn="0" w:lastRow="0" w:noHBand="0" w:noVBand="1" w:val="04A0"/>
      </w:tblPr>
      <w:tblGrid>
        <w:gridCol w:w="9922"/>
      </w:tblGrid>
      <w:tr>
        <w:tc>
          <w:tcPr>
            <w:tcW w:type="dxa" w:w="9922"/>
            <w:shd w:fill="EAF2F8"/>
            <w:tcBorders>
              <w:top w:val="single" w:sz="10" w:color="4472C4"/>
              <w:left w:val="single" w:sz="10" w:color="4472C4"/>
              <w:bottom w:val="single" w:sz="10" w:color="4472C4"/>
              <w:right w:val="single" w:sz="10" w:color="4472C4"/>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Lim et al. — 2D Trajectory Optimization Using Spherical Pendulum Dynamic Constraints for Reducing Liquid Sloshing on Mobile Robots</w:t>
            </w:r>
          </w:p>
          <w:p>
            <w:pPr>
              <w:spacing w:after="0"/>
            </w:pPr>
            <w:r>
              <w:rPr>
                <w:rFonts w:ascii="Noto Sans CJK SC" w:hAnsi="Noto Sans CJK SC" w:eastAsia="Noto Sans CJK SC"/>
                <w:b w:val="0"/>
                <w:i w:val="0"/>
                <w:sz w:val="20"/>
              </w:rPr>
              <w:t>该文将移动机器人与球摆液体动力学同时纳入二维轨迹优化，代表“移动机器人 + 液体动态约束 + 离线 trajectory optimization”。它与本文场景接近，但不是实时 fixed-path local MPCC。建议作为 Lim-inspired 离线防晃 baseline 或 Related Work 的强对照。</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EAF2F8"/>
            <w:tcBorders>
              <w:top w:val="single" w:sz="10" w:color="4472C4"/>
              <w:left w:val="single" w:sz="10" w:color="4472C4"/>
              <w:bottom w:val="single" w:sz="10" w:color="4472C4"/>
              <w:right w:val="single" w:sz="10" w:color="4472C4"/>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Hamaguchi &amp; Taniguchi — Damping and Transfer of Liquid in Cylindrical Container Using a Wheeled Mobile Robot Employing Velocity Control and Path Design</w:t>
            </w:r>
          </w:p>
          <w:p>
            <w:pPr>
              <w:spacing w:after="0"/>
            </w:pPr>
            <w:r>
              <w:rPr>
                <w:rFonts w:ascii="Noto Sans CJK SC" w:hAnsi="Noto Sans CJK SC" w:eastAsia="Noto Sans CJK SC"/>
                <w:b w:val="0"/>
                <w:i w:val="0"/>
                <w:sz w:val="20"/>
              </w:rPr>
              <w:t>该文使用球摆模型、input shaping、路径曲率和加速度模式设计来抑制轮式移动机器人运输液体时的晃动，是与你的平台和任务最接近的经典传统工作。本文可实现 Hamaguchi-inspired fixed-path speed/acceleration profile，但需明确不是完整论文复现。</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EAF2F8"/>
            <w:tcBorders>
              <w:top w:val="single" w:sz="10" w:color="4472C4"/>
              <w:left w:val="single" w:sz="10" w:color="4472C4"/>
              <w:bottom w:val="single" w:sz="10" w:color="4472C4"/>
              <w:right w:val="single" w:sz="10" w:color="4472C4"/>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Jian et al. — Long-Term Dynamic Window Approach for Kinodynamic Local Planning in Static and Crowd Environments</w:t>
            </w:r>
          </w:p>
          <w:p>
            <w:pPr>
              <w:spacing w:after="0"/>
            </w:pPr>
            <w:r>
              <w:rPr>
                <w:rFonts w:ascii="Noto Sans CJK SC" w:hAnsi="Noto Sans CJK SC" w:eastAsia="Noto Sans CJK SC"/>
                <w:b w:val="0"/>
                <w:i w:val="0"/>
                <w:sz w:val="20"/>
              </w:rPr>
              <w:t>这就是 LT-DWA 的正式论文。方法用 long-term dynamic window 生成长时域初始轨迹，再通过 graph optimization 改善安全性和控制抖动。它是现代同层 local-planner baseline，但主要优势在静态障碍和人群环境，需通过你的 fixed-path tracking Gate 后再进入主表。</w:t>
            </w:r>
          </w:p>
        </w:tc>
      </w:tr>
    </w:tbl>
    <w:p>
      <w:pPr>
        <w:spacing w:after="0"/>
      </w:pPr>
    </w:p>
    <w:p>
      <w:pPr>
        <w:pStyle w:val="Heading1"/>
        <w:keepNext/>
        <w:spacing w:before="160" w:after="80"/>
      </w:pPr>
      <w:r>
        <w:rPr>
          <w:rFonts w:ascii="Noto Serif CJK SC" w:hAnsi="Noto Serif CJK SC" w:eastAsia="Noto Serif CJK SC"/>
          <w:b/>
          <w:i w:val="0"/>
          <w:color w:val="1F4E79"/>
          <w:sz w:val="30"/>
        </w:rPr>
        <w:t>6. 建议参考文献（IEEE 草案格式）</w:t>
      </w:r>
    </w:p>
    <w:p>
      <w:pPr>
        <w:spacing w:after="60" w:line="252" w:lineRule="auto"/>
        <w:ind w:left="340" w:hanging="340"/>
      </w:pPr>
      <w:r>
        <w:rPr>
          <w:rFonts w:ascii="Noto Sans CJK SC" w:hAnsi="Noto Sans CJK SC" w:eastAsia="Noto Sans CJK SC"/>
          <w:b w:val="0"/>
          <w:i w:val="0"/>
          <w:sz w:val="17"/>
        </w:rPr>
        <w:t>[1] A. Liniger, A. Domahidi, and M. Morari, “Optimization-based autonomous racing of 1:43 scale RC cars,” Optimal Control Applications and Methods, vol. 36, no. 5, pp. 628–647, 2015, doi: 10.1002/oca.2123.</w:t>
      </w:r>
    </w:p>
    <w:p>
      <w:pPr>
        <w:spacing w:after="60" w:line="252" w:lineRule="auto"/>
        <w:ind w:left="340" w:hanging="340"/>
      </w:pPr>
      <w:r>
        <w:rPr>
          <w:rFonts w:ascii="Noto Sans CJK SC" w:hAnsi="Noto Sans CJK SC" w:eastAsia="Noto Sans CJK SC"/>
          <w:b w:val="0"/>
          <w:i w:val="0"/>
          <w:sz w:val="17"/>
        </w:rPr>
        <w:t>[2] B. Brito, B. Floor, L. Ferranti, and J. Alonso-Mora, “Model predictive contouring control for collision avoidance in unstructured dynamic environments,” IEEE Robotics and Automation Letters, vol. 4, no. 4, pp. 4459–4466, 2019, doi: 10.1109/LRA.2019.2929976.</w:t>
      </w:r>
    </w:p>
    <w:p>
      <w:pPr>
        <w:spacing w:after="60" w:line="252" w:lineRule="auto"/>
        <w:ind w:left="340" w:hanging="340"/>
      </w:pPr>
      <w:r>
        <w:rPr>
          <w:rFonts w:ascii="Noto Sans CJK SC" w:hAnsi="Noto Sans CJK SC" w:eastAsia="Noto Sans CJK SC"/>
          <w:b w:val="0"/>
          <w:i w:val="0"/>
          <w:sz w:val="17"/>
        </w:rPr>
        <w:t>[3] L. Lyons and L. Ferranti, “Curvature-aware model predictive contouring control,” in Proc. IEEE Int. Conf. Robotics and Automation (ICRA), 2023, pp. 3204–3210, doi: 10.1109/ICRA48891.2023.10161177.</w:t>
      </w:r>
    </w:p>
    <w:p>
      <w:pPr>
        <w:spacing w:after="60" w:line="252" w:lineRule="auto"/>
        <w:ind w:left="340" w:hanging="340"/>
      </w:pPr>
      <w:r>
        <w:rPr>
          <w:rFonts w:ascii="Noto Sans CJK SC" w:hAnsi="Noto Sans CJK SC" w:eastAsia="Noto Sans CJK SC"/>
          <w:b w:val="0"/>
          <w:i w:val="0"/>
          <w:sz w:val="17"/>
        </w:rPr>
        <w:t>[4] R. Di Leva, M. Carricato, H. Gattringer, and A. Müller, “Sloshing dynamics estimation for liquid-filled containers performing 3-dimensional motions: modeling and experimental validation,” Multibody System Dynamics, vol. 56, no. 2, pp. 153–171, 2022, doi: 10.1007/s11044-022-09841-0.</w:t>
      </w:r>
    </w:p>
    <w:p>
      <w:pPr>
        <w:spacing w:after="60" w:line="252" w:lineRule="auto"/>
        <w:ind w:left="340" w:hanging="340"/>
      </w:pPr>
      <w:r>
        <w:rPr>
          <w:rFonts w:ascii="Noto Sans CJK SC" w:hAnsi="Noto Sans CJK SC" w:eastAsia="Noto Sans CJK SC"/>
          <w:b w:val="0"/>
          <w:i w:val="0"/>
          <w:sz w:val="17"/>
        </w:rPr>
        <w:t>[5] R. I. C. Muchacho, R. Laha, L. F. C. Figueredo, and S. Haddadin, “A solution to slosh-free robot trajectory optimization,” in Proc. IEEE/RSJ Int. Conf. Intelligent Robots and Systems (IROS), 2022, pp. 223–230, doi: 10.1109/IROS47612.2022.9981173.</w:t>
      </w:r>
    </w:p>
    <w:p>
      <w:pPr>
        <w:spacing w:after="60" w:line="252" w:lineRule="auto"/>
        <w:ind w:left="340" w:hanging="340"/>
      </w:pPr>
      <w:r>
        <w:rPr>
          <w:rFonts w:ascii="Noto Sans CJK SC" w:hAnsi="Noto Sans CJK SC" w:eastAsia="Noto Sans CJK SC"/>
          <w:b w:val="0"/>
          <w:i w:val="0"/>
          <w:sz w:val="17"/>
        </w:rPr>
        <w:t>[6] A. Ferrari, R. Di Leva, S. Soprani, L. Biagiotti, G. Palli, and M. Carricato, “Time-optimal anti-sloshing trajectory planning for multiple liquid-filled containers subject to SCARA motion,” IEEE Robotics and Automation Letters, vol. 11, no. 2, pp. 1762–1769, 2026, doi: 10.1109/LRA.2025.3643281.</w:t>
      </w:r>
    </w:p>
    <w:p>
      <w:pPr>
        <w:spacing w:after="60" w:line="252" w:lineRule="auto"/>
        <w:ind w:left="340" w:hanging="340"/>
      </w:pPr>
      <w:r>
        <w:rPr>
          <w:rFonts w:ascii="Noto Sans CJK SC" w:hAnsi="Noto Sans CJK SC" w:eastAsia="Noto Sans CJK SC"/>
          <w:b w:val="0"/>
          <w:i w:val="0"/>
          <w:sz w:val="17"/>
        </w:rPr>
        <w:t>[7] M. Hamaguchi and T. Taniguchi, “Damping and transfer of liquid in cylindrical container using a wheeled mobile robot employing velocity control and path design,” in Proc. IEEE/RSJ Int. Conf. Intelligent Robots and Systems (IROS), 2004, vol. 3, pp. 2446–2450, doi: 10.1109/IROS.2004.1389775.</w:t>
      </w:r>
    </w:p>
    <w:p>
      <w:pPr>
        <w:spacing w:after="60" w:line="252" w:lineRule="auto"/>
        <w:ind w:left="340" w:hanging="340"/>
      </w:pPr>
      <w:r>
        <w:rPr>
          <w:rFonts w:ascii="Noto Sans CJK SC" w:hAnsi="Noto Sans CJK SC" w:eastAsia="Noto Sans CJK SC"/>
          <w:b w:val="0"/>
          <w:i w:val="0"/>
          <w:sz w:val="17"/>
        </w:rPr>
        <w:t>[8] M. Hamaguchi and T. Taniguchi, “Damping and transfer control of liquid in a cylindrical container using a wheeled mobile robot,” Journal of Robotics and Mechatronics, vol. 17, no. 5, pp. 546–552, 2005, doi: 10.20965/jrm.2005.p0546.</w:t>
      </w:r>
    </w:p>
    <w:p>
      <w:pPr>
        <w:spacing w:after="60" w:line="252" w:lineRule="auto"/>
        <w:ind w:left="340" w:hanging="340"/>
      </w:pPr>
      <w:r>
        <w:rPr>
          <w:rFonts w:ascii="Noto Sans CJK SC" w:hAnsi="Noto Sans CJK SC" w:eastAsia="Noto Sans CJK SC"/>
          <w:b w:val="0"/>
          <w:i w:val="0"/>
          <w:sz w:val="17"/>
        </w:rPr>
        <w:t>[9] W. Lim, J. Jung, and S. Han, “2D trajectory optimization using spherical pendulum dynamic constraints for reducing liquid sloshing on mobile robots,” in Proc. 24th Int. Conf. Control, Automation and Systems (ICCAS), 2024, doi: 10.23919/ICCAS63016.2024.10773274.</w:t>
      </w:r>
    </w:p>
    <w:p>
      <w:pPr>
        <w:spacing w:after="60" w:line="252" w:lineRule="auto"/>
        <w:ind w:left="340" w:hanging="340"/>
      </w:pPr>
      <w:r>
        <w:rPr>
          <w:rFonts w:ascii="Noto Sans CJK SC" w:hAnsi="Noto Sans CJK SC" w:eastAsia="Noto Sans CJK SC"/>
          <w:b w:val="0"/>
          <w:i w:val="0"/>
          <w:sz w:val="17"/>
        </w:rPr>
        <w:t>[10] J. Choi, W. Kwon, K. Yoon, S. Yoon, Y. S. Lee, S. Jeon, and S. Han, “Suppressing violent sloshing flow in food serving robots,” Robotics and Autonomous Systems, vol. 179, Art. no. 104728, 2024, doi: 10.1016/j.robot.2024.104728.</w:t>
      </w:r>
    </w:p>
    <w:p>
      <w:pPr>
        <w:spacing w:after="60" w:line="252" w:lineRule="auto"/>
        <w:ind w:left="340" w:hanging="340"/>
      </w:pPr>
      <w:r>
        <w:rPr>
          <w:rFonts w:ascii="Noto Sans CJK SC" w:hAnsi="Noto Sans CJK SC" w:eastAsia="Noto Sans CJK SC"/>
          <w:b w:val="0"/>
          <w:i w:val="0"/>
          <w:sz w:val="17"/>
        </w:rPr>
        <w:t>[11] D. Fox, W. Burgard, and S. Thrun, “The dynamic window approach to collision avoidance,” IEEE Robotics &amp; Automation Magazine, vol. 4, no. 1, pp. 23–33, 1997, doi: 10.1109/100.580977.</w:t>
      </w:r>
    </w:p>
    <w:p>
      <w:pPr>
        <w:spacing w:after="60" w:line="252" w:lineRule="auto"/>
        <w:ind w:left="340" w:hanging="340"/>
      </w:pPr>
      <w:r>
        <w:rPr>
          <w:rFonts w:ascii="Noto Sans CJK SC" w:hAnsi="Noto Sans CJK SC" w:eastAsia="Noto Sans CJK SC"/>
          <w:b w:val="0"/>
          <w:i w:val="0"/>
          <w:sz w:val="17"/>
        </w:rPr>
        <w:t>[12] C. Rösmann, W. Feiten, T. Wösch, F. Hoffmann, and T. Bertram, “Efficient trajectory optimization using a sparse model,” in Proc. European Conf. Mobile Robots (ECMR), 2013, pp. 138–143, doi: 10.1109/ECMR.2013.6698833.</w:t>
      </w:r>
    </w:p>
    <w:p>
      <w:pPr>
        <w:spacing w:after="60" w:line="252" w:lineRule="auto"/>
        <w:ind w:left="340" w:hanging="340"/>
      </w:pPr>
      <w:r>
        <w:rPr>
          <w:rFonts w:ascii="Noto Sans CJK SC" w:hAnsi="Noto Sans CJK SC" w:eastAsia="Noto Sans CJK SC"/>
          <w:b w:val="0"/>
          <w:i w:val="0"/>
          <w:sz w:val="17"/>
        </w:rPr>
        <w:t>[13] Z. Jian, S. Zhang, L. Sun, W. Zhan, N. Zheng, and M. Tomizuka, “Long-term dynamic window approach for kinodynamic local planning in static and crowd environments,” IEEE Robotics and Automation Letters, vol. 8, no. 6, pp. 3294–3301, 2023, doi: 10.1109/LRA.2023.3266664.</w:t>
      </w:r>
    </w:p>
    <w:p>
      <w:pPr>
        <w:spacing w:after="60" w:line="252" w:lineRule="auto"/>
        <w:ind w:left="340" w:hanging="340"/>
      </w:pPr>
      <w:r>
        <w:rPr>
          <w:rFonts w:ascii="Noto Sans CJK SC" w:hAnsi="Noto Sans CJK SC" w:eastAsia="Noto Sans CJK SC"/>
          <w:b w:val="0"/>
          <w:i w:val="0"/>
          <w:sz w:val="17"/>
        </w:rPr>
        <w:t>[14] C. Rösmann, A. Makarow, and T. Bertram, “Online motion planning based on nonlinear model predictive control with non-Euclidean rotation groups,” in Proc. European Control Conf. (ECC), 2021, pp. 1583–1590, doi: 10.23919/ECC54610.2021.9654872.</w:t>
      </w:r>
    </w:p>
    <w:p>
      <w:pPr>
        <w:spacing w:after="60" w:line="252" w:lineRule="auto"/>
        <w:ind w:left="340" w:hanging="340"/>
      </w:pPr>
      <w:r>
        <w:rPr>
          <w:rFonts w:ascii="Noto Sans CJK SC" w:hAnsi="Noto Sans CJK SC" w:eastAsia="Noto Sans CJK SC"/>
          <w:b w:val="0"/>
          <w:i w:val="0"/>
          <w:sz w:val="17"/>
        </w:rPr>
        <w:t>[15] O. de Groot, L. Ferranti, D. M. Gavrila, and J. Alonso-Mora, “Topology-driven parallel trajectory optimization in dynamic environments,” IEEE Transactions on Robotics, vol. 41, pp. 110–126, 2025, doi: 10.1109/TRO.2024.3475047.</w:t>
      </w:r>
    </w:p>
    <w:p>
      <w:pPr>
        <w:spacing w:after="60" w:line="252" w:lineRule="auto"/>
        <w:ind w:left="340" w:hanging="340"/>
      </w:pPr>
      <w:r>
        <w:rPr>
          <w:rFonts w:ascii="Noto Sans CJK SC" w:hAnsi="Noto Sans CJK SC" w:eastAsia="Noto Sans CJK SC"/>
          <w:b w:val="0"/>
          <w:i w:val="0"/>
          <w:sz w:val="17"/>
        </w:rPr>
        <w:t>[16] R. Verschueren et al., “acados—a modular open-source framework for fast embedded optimal control,” Mathematical Programming Computation, vol. 14, pp. 147–183, 2022, doi: 10.1007/s12532-021-00208-8.</w:t>
      </w:r>
    </w:p>
    <w:p>
      <w:pPr>
        <w:spacing w:after="60" w:line="252" w:lineRule="auto"/>
        <w:ind w:left="340" w:hanging="340"/>
      </w:pPr>
      <w:r>
        <w:rPr>
          <w:rFonts w:ascii="Noto Sans CJK SC" w:hAnsi="Noto Sans CJK SC" w:eastAsia="Noto Sans CJK SC"/>
          <w:b w:val="0"/>
          <w:i w:val="0"/>
          <w:sz w:val="17"/>
        </w:rPr>
        <w:t>[17] J. A. E. Andersson, J. Gillis, G. Horn, J. B. Rawlings, and M. Diehl, “CasADi: a software framework for nonlinear optimization and optimal control,” Mathematical Programming Computation, vol. 11, pp. 1–36, 2019, doi: 10.1007/s12532-018-0139-4.</w:t>
      </w:r>
    </w:p>
    <w:p>
      <w:pPr>
        <w:pStyle w:val="Heading1"/>
        <w:keepNext/>
        <w:spacing w:before="160" w:after="80"/>
      </w:pPr>
      <w:r>
        <w:rPr>
          <w:rFonts w:ascii="Noto Serif CJK SC" w:hAnsi="Noto Serif CJK SC" w:eastAsia="Noto Serif CJK SC"/>
          <w:b/>
          <w:i w:val="0"/>
          <w:color w:val="1F4E79"/>
          <w:sz w:val="30"/>
        </w:rPr>
        <w:t>7. 从现在开始写初稿的工作计划</w:t>
      </w:r>
    </w:p>
    <w:p>
      <w:pPr>
        <w:pStyle w:val="Heading2"/>
        <w:keepNext/>
        <w:spacing w:before="100" w:after="80"/>
      </w:pPr>
      <w:r>
        <w:rPr>
          <w:rFonts w:ascii="Noto Serif CJK SC" w:hAnsi="Noto Serif CJK SC" w:eastAsia="Noto Serif CJK SC"/>
          <w:b/>
          <w:i w:val="0"/>
          <w:color w:val="1F4E79"/>
          <w:sz w:val="26"/>
        </w:rPr>
        <w:t>7.1 可立即完成</w:t>
      </w:r>
    </w:p>
    <w:p>
      <w:pPr>
        <w:pStyle w:val="ListBullet"/>
        <w:spacing w:after="40" w:line="269" w:lineRule="auto"/>
      </w:pPr>
      <w:r>
        <w:rPr>
          <w:rFonts w:ascii="Noto Sans CJK SC" w:hAnsi="Noto Sans CJK SC" w:eastAsia="Noto Sans CJK SC"/>
          <w:b w:val="0"/>
          <w:i w:val="0"/>
          <w:sz w:val="21"/>
        </w:rPr>
        <w:t>把本文件 III-A 至 III-J 转为 LaTeX Method 初稿。</w:t>
      </w:r>
    </w:p>
    <w:p>
      <w:pPr>
        <w:pStyle w:val="ListBullet"/>
        <w:spacing w:after="40" w:line="269" w:lineRule="auto"/>
      </w:pPr>
      <w:r>
        <w:rPr>
          <w:rFonts w:ascii="Noto Sans CJK SC" w:hAnsi="Noto Sans CJK SC" w:eastAsia="Noto Sans CJK SC"/>
          <w:b w:val="0"/>
          <w:i w:val="0"/>
          <w:sz w:val="21"/>
        </w:rPr>
        <w:t>画 Fig. 1 系统框图和 Fig. 2 增广动力学/OCP 框图。</w:t>
      </w:r>
    </w:p>
    <w:p>
      <w:pPr>
        <w:pStyle w:val="ListBullet"/>
        <w:spacing w:after="40" w:line="269" w:lineRule="auto"/>
      </w:pPr>
      <w:r>
        <w:rPr>
          <w:rFonts w:ascii="Noto Sans CJK SC" w:hAnsi="Noto Sans CJK SC" w:eastAsia="Noto Sans CJK SC"/>
          <w:b w:val="0"/>
          <w:i w:val="0"/>
          <w:sz w:val="21"/>
        </w:rPr>
        <w:t>建立符号表：代码参数名 ↔ 论文符号 ↔ 单位 ↔ 默认值。</w:t>
      </w:r>
    </w:p>
    <w:p>
      <w:pPr>
        <w:pStyle w:val="ListBullet"/>
        <w:spacing w:after="40" w:line="269" w:lineRule="auto"/>
      </w:pPr>
      <w:r>
        <w:rPr>
          <w:rFonts w:ascii="Noto Sans CJK SC" w:hAnsi="Noto Sans CJK SC" w:eastAsia="Noto Sans CJK SC"/>
          <w:b w:val="0"/>
          <w:i w:val="0"/>
          <w:sz w:val="21"/>
        </w:rPr>
        <w:t>完成 Related Work 初稿，并按“液体防晃”和“local planning/MPCC”两条线组织。</w:t>
      </w:r>
    </w:p>
    <w:p>
      <w:pPr>
        <w:pStyle w:val="ListBullet"/>
        <w:spacing w:after="40" w:line="269" w:lineRule="auto"/>
      </w:pPr>
      <w:r>
        <w:rPr>
          <w:rFonts w:ascii="Noto Sans CJK SC" w:hAnsi="Noto Sans CJK SC" w:eastAsia="Noto Sans CJK SC"/>
          <w:b w:val="0"/>
          <w:i w:val="0"/>
          <w:sz w:val="21"/>
        </w:rPr>
        <w:t>建立 Experiment Setup 占位表和 Claim–Evidence 矩阵。</w:t>
      </w:r>
    </w:p>
    <w:p>
      <w:pPr>
        <w:pStyle w:val="Heading2"/>
        <w:keepNext/>
        <w:spacing w:before="100" w:after="80"/>
      </w:pPr>
      <w:r>
        <w:rPr>
          <w:rFonts w:ascii="Noto Serif CJK SC" w:hAnsi="Noto Serif CJK SC" w:eastAsia="Noto Serif CJK SC"/>
          <w:b/>
          <w:i w:val="0"/>
          <w:color w:val="1F4E79"/>
          <w:sz w:val="26"/>
        </w:rPr>
        <w:t>7.2 Method 定稿前必须确认</w:t>
      </w:r>
    </w:p>
    <w:p>
      <w:pPr>
        <w:pStyle w:val="ListBullet"/>
        <w:spacing w:after="40" w:line="269" w:lineRule="auto"/>
      </w:pPr>
      <w:r>
        <w:rPr>
          <w:rFonts w:ascii="Noto Sans CJK SC" w:hAnsi="Noto Sans CJK SC" w:eastAsia="Noto Sans CJK SC"/>
          <w:b w:val="0"/>
          <w:i w:val="0"/>
          <w:sz w:val="21"/>
        </w:rPr>
        <w:t>正式实验使用的 N、dt、v/ω/a/α bounds 和最终 variant 参数。</w:t>
      </w:r>
    </w:p>
    <w:p>
      <w:pPr>
        <w:pStyle w:val="ListBullet"/>
        <w:spacing w:after="40" w:line="269" w:lineRule="auto"/>
      </w:pPr>
      <w:r>
        <w:rPr>
          <w:rFonts w:ascii="Noto Sans CJK SC" w:hAnsi="Noto Sans CJK SC" w:eastAsia="Noto Sans CJK SC"/>
          <w:b w:val="0"/>
          <w:i w:val="0"/>
          <w:sz w:val="21"/>
        </w:rPr>
        <w:t>curvature-aware v_ref 与 anti-creep 的最终公式是否进入主文或实现细节。</w:t>
      </w:r>
    </w:p>
    <w:p>
      <w:pPr>
        <w:pStyle w:val="ListBullet"/>
        <w:spacing w:after="40" w:line="269" w:lineRule="auto"/>
      </w:pPr>
      <w:r>
        <w:rPr>
          <w:rFonts w:ascii="Noto Sans CJK SC" w:hAnsi="Noto Sans CJK SC" w:eastAsia="Noto Sans CJK SC"/>
          <w:b w:val="0"/>
          <w:i w:val="0"/>
          <w:sz w:val="21"/>
        </w:rPr>
        <w:t>terminal cost 与 TerminalController 的正文边界。</w:t>
      </w:r>
    </w:p>
    <w:p>
      <w:pPr>
        <w:pStyle w:val="ListBullet"/>
        <w:spacing w:after="40" w:line="269" w:lineRule="auto"/>
      </w:pPr>
      <w:r>
        <w:rPr>
          <w:rFonts w:ascii="Noto Sans CJK SC" w:hAnsi="Noto Sans CJK SC" w:eastAsia="Noto Sans CJK SC"/>
          <w:b w:val="0"/>
          <w:i w:val="0"/>
          <w:sz w:val="21"/>
        </w:rPr>
        <w:t>RGB max-LCR 的正式离线定义、标定和窗口切分。</w:t>
      </w:r>
    </w:p>
    <w:p>
      <w:pPr>
        <w:pStyle w:val="ListBullet"/>
        <w:spacing w:after="40" w:line="269" w:lineRule="auto"/>
      </w:pPr>
      <w:r>
        <w:rPr>
          <w:rFonts w:ascii="Noto Sans CJK SC" w:hAnsi="Noto Sans CJK SC" w:eastAsia="Noto Sans CJK SC"/>
          <w:b w:val="0"/>
          <w:i w:val="0"/>
          <w:sz w:val="21"/>
        </w:rPr>
        <w:t>官方 LT-DWA 是否通过直线、单弯和 S 弯 tracking Gate；否则使用 mpc_local_planner。</w:t>
      </w:r>
    </w:p>
    <w:p>
      <w:pPr>
        <w:pStyle w:val="ListBullet"/>
        <w:spacing w:after="40" w:line="269" w:lineRule="auto"/>
      </w:pPr>
      <w:r>
        <w:rPr>
          <w:rFonts w:ascii="Noto Sans CJK SC" w:hAnsi="Noto Sans CJK SC" w:eastAsia="Noto Sans CJK SC"/>
          <w:b w:val="0"/>
          <w:i w:val="0"/>
          <w:sz w:val="21"/>
        </w:rPr>
        <w:t>Hamaguchi/Lim 是否实际实现并进入补充实验。</w:t>
      </w:r>
    </w:p>
    <w:p>
      <w:pPr>
        <w:pStyle w:val="Heading2"/>
        <w:keepNext/>
        <w:spacing w:before="100" w:after="80"/>
      </w:pPr>
      <w:r>
        <w:rPr>
          <w:rFonts w:ascii="Noto Serif CJK SC" w:hAnsi="Noto Serif CJK SC" w:eastAsia="Noto Serif CJK SC"/>
          <w:b/>
          <w:i w:val="0"/>
          <w:color w:val="1F4E79"/>
          <w:sz w:val="26"/>
        </w:rPr>
        <w:t>7.3 推荐写作顺序</w:t>
      </w:r>
    </w:p>
    <w:p>
      <w:pPr>
        <w:spacing w:after="40"/>
        <w:ind w:left="312" w:hanging="255"/>
      </w:pPr>
      <w:r>
        <w:rPr>
          <w:rFonts w:ascii="Noto Sans CJK SC" w:hAnsi="Noto Sans CJK SC" w:eastAsia="Noto Sans CJK SC"/>
          <w:b w:val="0"/>
          <w:i w:val="0"/>
          <w:sz w:val="21"/>
        </w:rPr>
        <w:t xml:space="preserve">1. </w:t>
      </w:r>
      <w:r>
        <w:rPr>
          <w:rFonts w:ascii="Noto Sans CJK SC" w:hAnsi="Noto Sans CJK SC" w:eastAsia="Noto Sans CJK SC"/>
          <w:b w:val="0"/>
          <w:i w:val="0"/>
          <w:sz w:val="21"/>
        </w:rPr>
        <w:t>Method 符号表与公式；</w:t>
      </w:r>
    </w:p>
    <w:p>
      <w:pPr>
        <w:spacing w:after="40"/>
        <w:ind w:left="312" w:hanging="255"/>
      </w:pPr>
      <w:r>
        <w:rPr>
          <w:rFonts w:ascii="Noto Sans CJK SC" w:hAnsi="Noto Sans CJK SC" w:eastAsia="Noto Sans CJK SC"/>
          <w:b w:val="0"/>
          <w:i w:val="0"/>
          <w:sz w:val="21"/>
        </w:rPr>
        <w:t xml:space="preserve">2. </w:t>
      </w:r>
      <w:r>
        <w:rPr>
          <w:rFonts w:ascii="Noto Sans CJK SC" w:hAnsi="Noto Sans CJK SC" w:eastAsia="Noto Sans CJK SC"/>
          <w:b w:val="0"/>
          <w:i w:val="0"/>
          <w:sz w:val="21"/>
        </w:rPr>
        <w:t>Method 中文初稿并翻译英文；</w:t>
      </w:r>
    </w:p>
    <w:p>
      <w:pPr>
        <w:spacing w:after="40"/>
        <w:ind w:left="312" w:hanging="255"/>
      </w:pPr>
      <w:r>
        <w:rPr>
          <w:rFonts w:ascii="Noto Sans CJK SC" w:hAnsi="Noto Sans CJK SC" w:eastAsia="Noto Sans CJK SC"/>
          <w:b w:val="0"/>
          <w:i w:val="0"/>
          <w:sz w:val="21"/>
        </w:rPr>
        <w:t xml:space="preserve">3. </w:t>
      </w:r>
      <w:r>
        <w:rPr>
          <w:rFonts w:ascii="Noto Sans CJK SC" w:hAnsi="Noto Sans CJK SC" w:eastAsia="Noto Sans CJK SC"/>
          <w:b w:val="0"/>
          <w:i w:val="0"/>
          <w:sz w:val="21"/>
        </w:rPr>
        <w:t>实验协议和 baseline 参数表；</w:t>
      </w:r>
    </w:p>
    <w:p>
      <w:pPr>
        <w:spacing w:after="40"/>
        <w:ind w:left="312" w:hanging="255"/>
      </w:pPr>
      <w:r>
        <w:rPr>
          <w:rFonts w:ascii="Noto Sans CJK SC" w:hAnsi="Noto Sans CJK SC" w:eastAsia="Noto Sans CJK SC"/>
          <w:b w:val="0"/>
          <w:i w:val="0"/>
          <w:sz w:val="21"/>
        </w:rPr>
        <w:t xml:space="preserve">4. </w:t>
      </w:r>
      <w:r>
        <w:rPr>
          <w:rFonts w:ascii="Noto Sans CJK SC" w:hAnsi="Noto Sans CJK SC" w:eastAsia="Noto Sans CJK SC"/>
          <w:b w:val="0"/>
          <w:i w:val="0"/>
          <w:sz w:val="21"/>
        </w:rPr>
        <w:t>内部消融表格骨架；</w:t>
      </w:r>
    </w:p>
    <w:p>
      <w:pPr>
        <w:spacing w:after="40"/>
        <w:ind w:left="312" w:hanging="255"/>
      </w:pPr>
      <w:r>
        <w:rPr>
          <w:rFonts w:ascii="Noto Sans CJK SC" w:hAnsi="Noto Sans CJK SC" w:eastAsia="Noto Sans CJK SC"/>
          <w:b w:val="0"/>
          <w:i w:val="0"/>
          <w:sz w:val="21"/>
        </w:rPr>
        <w:t xml:space="preserve">5. </w:t>
      </w:r>
      <w:r>
        <w:rPr>
          <w:rFonts w:ascii="Noto Sans CJK SC" w:hAnsi="Noto Sans CJK SC" w:eastAsia="Noto Sans CJK SC"/>
          <w:b w:val="0"/>
          <w:i w:val="0"/>
          <w:sz w:val="21"/>
        </w:rPr>
        <w:t>外部 local-planner 表格骨架；</w:t>
      </w:r>
    </w:p>
    <w:p>
      <w:pPr>
        <w:spacing w:after="40"/>
        <w:ind w:left="312" w:hanging="255"/>
      </w:pPr>
      <w:r>
        <w:rPr>
          <w:rFonts w:ascii="Noto Sans CJK SC" w:hAnsi="Noto Sans CJK SC" w:eastAsia="Noto Sans CJK SC"/>
          <w:b w:val="0"/>
          <w:i w:val="0"/>
          <w:sz w:val="21"/>
        </w:rPr>
        <w:t xml:space="preserve">6. </w:t>
      </w:r>
      <w:r>
        <w:rPr>
          <w:rFonts w:ascii="Noto Sans CJK SC" w:hAnsi="Noto Sans CJK SC" w:eastAsia="Noto Sans CJK SC"/>
          <w:b w:val="0"/>
          <w:i w:val="0"/>
          <w:sz w:val="21"/>
        </w:rPr>
        <w:t>Related Work；</w:t>
      </w:r>
    </w:p>
    <w:p>
      <w:pPr>
        <w:spacing w:after="40"/>
        <w:ind w:left="312" w:hanging="255"/>
      </w:pPr>
      <w:r>
        <w:rPr>
          <w:rFonts w:ascii="Noto Sans CJK SC" w:hAnsi="Noto Sans CJK SC" w:eastAsia="Noto Sans CJK SC"/>
          <w:b w:val="0"/>
          <w:i w:val="0"/>
          <w:sz w:val="21"/>
        </w:rPr>
        <w:t xml:space="preserve">7. </w:t>
      </w:r>
      <w:r>
        <w:rPr>
          <w:rFonts w:ascii="Noto Sans CJK SC" w:hAnsi="Noto Sans CJK SC" w:eastAsia="Noto Sans CJK SC"/>
          <w:b w:val="0"/>
          <w:i w:val="0"/>
          <w:sz w:val="21"/>
        </w:rPr>
        <w:t>Introduction；</w:t>
      </w:r>
    </w:p>
    <w:p>
      <w:pPr>
        <w:spacing w:after="40"/>
        <w:ind w:left="312" w:hanging="255"/>
      </w:pPr>
      <w:r>
        <w:rPr>
          <w:rFonts w:ascii="Noto Sans CJK SC" w:hAnsi="Noto Sans CJK SC" w:eastAsia="Noto Sans CJK SC"/>
          <w:b w:val="0"/>
          <w:i w:val="0"/>
          <w:sz w:val="21"/>
        </w:rPr>
        <w:t xml:space="preserve">8. </w:t>
      </w:r>
      <w:r>
        <w:rPr>
          <w:rFonts w:ascii="Noto Sans CJK SC" w:hAnsi="Noto Sans CJK SC" w:eastAsia="Noto Sans CJK SC"/>
          <w:b w:val="0"/>
          <w:i w:val="0"/>
          <w:sz w:val="21"/>
        </w:rPr>
        <w:t>最后写 Abstract、Conclusion 和标题。</w:t>
      </w:r>
    </w:p>
    <w:p>
      <w:pPr>
        <w:pStyle w:val="Heading1"/>
        <w:keepNext/>
        <w:spacing w:before="160" w:after="80"/>
      </w:pPr>
      <w:r>
        <w:rPr>
          <w:rFonts w:ascii="Noto Serif CJK SC" w:hAnsi="Noto Serif CJK SC" w:eastAsia="Noto Serif CJK SC"/>
          <w:b/>
          <w:i w:val="0"/>
          <w:color w:val="1F4E79"/>
          <w:sz w:val="30"/>
        </w:rPr>
        <w:t>8. 最终范围冻结声明</w:t>
      </w:r>
    </w:p>
    <w:tbl>
      <w:tblPr>
        <w:tblW w:type="auto" w:w="0"/>
        <w:jc w:val="center"/>
        <w:tblLayout w:type="autofit"/>
        <w:tblLook w:firstColumn="1" w:firstRow="1" w:lastColumn="0" w:lastRow="0" w:noHBand="0" w:noVBand="1" w:val="04A0"/>
      </w:tblPr>
      <w:tblGrid>
        <w:gridCol w:w="9922"/>
      </w:tblGrid>
      <w:tr>
        <w:tc>
          <w:tcPr>
            <w:tcW w:type="dxa" w:w="9922"/>
            <w:shd w:fill="FCE4D6"/>
            <w:tcBorders>
              <w:top w:val="single" w:sz="10" w:color="C65911"/>
              <w:left w:val="single" w:sz="10" w:color="C65911"/>
              <w:bottom w:val="single" w:sz="10" w:color="C65911"/>
              <w:right w:val="single" w:sz="10" w:color="C65911"/>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第一版 RA-L 方法范围</w:t>
            </w:r>
          </w:p>
          <w:p>
            <w:pPr>
              <w:spacing w:after="0"/>
            </w:pPr>
            <w:r>
              <w:rPr>
                <w:rFonts w:ascii="Noto Sans CJK SC" w:hAnsi="Noto Sans CJK SC" w:eastAsia="Noto Sans CJK SC"/>
                <w:b w:val="0"/>
                <w:i w:val="0"/>
                <w:sz w:val="20"/>
              </w:rPr>
              <w:t>本文第一版仅以 slosh-aware alpha-state MPCC local planner 为核心方法。Terrain-conditioned Slosh Experience Prior、输入延迟补偿、完整 obstacle-aware MPCC 和地图阶段参数化均不进入基础 Method。它们可以在 Discussion 中作为明确的后续扩展。</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E2F0D9"/>
            <w:tcBorders>
              <w:top w:val="single" w:sz="10" w:color="70AD47"/>
              <w:left w:val="single" w:sz="10" w:color="70AD47"/>
              <w:bottom w:val="single" w:sz="10" w:color="70AD47"/>
              <w:right w:val="single" w:sz="10" w:color="70AD47"/>
            </w:tcBorders>
            <w:tcMar>
              <w:top w:w="110" w:type="dxa"/>
              <w:start w:w="140" w:type="dxa"/>
              <w:bottom w:w="110" w:type="dxa"/>
              <w:end w:w="140" w:type="dxa"/>
            </w:tcMar>
          </w:tcPr>
          <w:p>
            <w:pPr>
              <w:spacing w:after="60"/>
            </w:pPr>
            <w:r>
              <w:rPr>
                <w:rFonts w:ascii="Noto Sans CJK SC" w:hAnsi="Noto Sans CJK SC" w:eastAsia="Noto Sans CJK SC"/>
                <w:b/>
                <w:i w:val="0"/>
                <w:color w:val="1F4E79"/>
                <w:sz w:val="21"/>
              </w:rPr>
              <w:t>最小投稿证据链</w:t>
            </w:r>
          </w:p>
          <w:p>
            <w:pPr>
              <w:spacing w:after="0"/>
            </w:pPr>
            <w:r>
              <w:rPr>
                <w:rFonts w:ascii="Noto Sans CJK SC" w:hAnsi="Noto Sans CJK SC" w:eastAsia="Noto Sans CJK SC"/>
                <w:b w:val="0"/>
                <w:i w:val="0"/>
                <w:sz w:val="20"/>
              </w:rPr>
              <w:t>B0/B_slosh/B_smooth/B_ours same-framework ablation + DWA/TEB/modern local-planner comparison + RGB real-robot validation。若这条证据链完整、速度公平、失败统计透明，第一版论文无需地图模块也能成立。</w:t>
            </w:r>
          </w:p>
        </w:tc>
      </w:tr>
    </w:tbl>
    <w:p>
      <w:pPr>
        <w:spacing w:after="0"/>
      </w:pPr>
    </w:p>
    <w:p>
      <w:pPr>
        <w:spacing w:before="240"/>
        <w:jc w:val="center"/>
      </w:pPr>
      <w:r>
        <w:rPr>
          <w:rFonts w:ascii="Noto Sans CJK SC" w:hAnsi="Noto Sans CJK SC" w:eastAsia="Noto Sans CJK SC"/>
          <w:b w:val="0"/>
          <w:i w:val="0"/>
          <w:color w:val="828282"/>
          <w:sz w:val="18"/>
        </w:rPr>
        <w:t>— 文档结束 —</w:t>
      </w:r>
    </w:p>
    <w:sectPr w:rsidR="00FC693F" w:rsidRPr="0006063C" w:rsidSect="00034616">
      <w:headerReference w:type="default" r:id="rId9"/>
      <w:footerReference w:type="default" r:id="rId10"/>
      <w:pgSz w:w="11906" w:h="16838"/>
      <w:pgMar w:top="992" w:right="992" w:bottom="935"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787878"/>
        <w:sz w:val="17"/>
      </w:rPr>
      <w:t>SPMPC RA-L 论文组织与 Method 初稿（第一版）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1F4E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SPMPC RA-L 论文组织与 Method 章节初稿</dc:title>
  <dc:subject>论文结构、baseline 选择、Method 初稿与参考文献矩阵</dc:subject>
  <dc:creator>张仁军项目</dc:creator>
  <cp:keywords>SPMPC, MPCC, slosh-aware, RA-L, mobile robot, liquid transportation</cp:keywords>
  <dc:description>generated by python-docx</dc:description>
  <cp:lastModifiedBy/>
  <cp:revision>1</cp:revision>
  <dcterms:created xsi:type="dcterms:W3CDTF">2013-12-23T23:15:00Z</dcterms:created>
  <dcterms:modified xsi:type="dcterms:W3CDTF">2013-12-23T23:15:00Z</dcterms:modified>
  <cp:category/>
</cp:coreProperties>
</file>