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331" w:rsidRPr="00900F71" w:rsidRDefault="00912331">
      <w:pPr>
        <w:rPr>
          <w:rFonts w:ascii="標楷體" w:eastAsia="標楷體" w:hAnsi="標楷體"/>
        </w:rPr>
      </w:pPr>
    </w:p>
    <w:p w:rsidR="00912331" w:rsidRPr="00900F71" w:rsidRDefault="00900F71">
      <w:pPr>
        <w:spacing w:before="40"/>
        <w:ind w:left="120" w:right="100"/>
        <w:jc w:val="center"/>
        <w:rPr>
          <w:rFonts w:ascii="標楷體" w:eastAsia="標楷體" w:hAnsi="標楷體"/>
          <w:b/>
          <w:bCs/>
          <w:sz w:val="40"/>
          <w:szCs w:val="40"/>
        </w:rPr>
      </w:pPr>
      <w:r w:rsidRPr="00900F71">
        <w:rPr>
          <w:rFonts w:ascii="標楷體" w:eastAsia="標楷體" w:hAnsi="標楷體"/>
          <w:b/>
          <w:bCs/>
          <w:sz w:val="40"/>
          <w:szCs w:val="40"/>
        </w:rPr>
        <w:t xml:space="preserve">Term Project II: </w:t>
      </w:r>
    </w:p>
    <w:p w:rsidR="00912331" w:rsidRPr="00900F71" w:rsidRDefault="00900F71">
      <w:pPr>
        <w:spacing w:before="40"/>
        <w:ind w:left="120" w:right="100"/>
        <w:jc w:val="center"/>
        <w:rPr>
          <w:rFonts w:ascii="標楷體" w:eastAsia="標楷體" w:hAnsi="標楷體"/>
          <w:b/>
          <w:bCs/>
          <w:sz w:val="40"/>
          <w:szCs w:val="40"/>
        </w:rPr>
      </w:pPr>
      <w:r w:rsidRPr="00900F71">
        <w:rPr>
          <w:rFonts w:ascii="標楷體" w:eastAsia="標楷體" w:hAnsi="標楷體"/>
          <w:b/>
          <w:bCs/>
          <w:sz w:val="40"/>
          <w:szCs w:val="40"/>
        </w:rPr>
        <w:t xml:space="preserve">Quantitative Trading </w:t>
      </w:r>
    </w:p>
    <w:p w:rsidR="00912331" w:rsidRPr="00900F71" w:rsidRDefault="00912331">
      <w:pPr>
        <w:spacing w:before="40"/>
        <w:ind w:left="120" w:right="100"/>
        <w:jc w:val="center"/>
        <w:rPr>
          <w:rFonts w:ascii="標楷體" w:eastAsia="標楷體" w:hAnsi="標楷體"/>
          <w:b/>
          <w:bCs/>
          <w:sz w:val="52"/>
          <w:szCs w:val="52"/>
        </w:rPr>
      </w:pPr>
    </w:p>
    <w:p w:rsidR="00912331" w:rsidRPr="00900F71" w:rsidRDefault="00912331">
      <w:pPr>
        <w:spacing w:before="40"/>
        <w:ind w:left="120" w:right="100"/>
        <w:jc w:val="center"/>
        <w:rPr>
          <w:rFonts w:ascii="標楷體" w:eastAsia="標楷體" w:hAnsi="標楷體"/>
          <w:b/>
          <w:bCs/>
          <w:sz w:val="52"/>
          <w:szCs w:val="52"/>
        </w:rPr>
      </w:pPr>
    </w:p>
    <w:p w:rsidR="00912331" w:rsidRPr="00900F71" w:rsidRDefault="00912331">
      <w:pPr>
        <w:spacing w:before="40"/>
        <w:ind w:left="120" w:right="100"/>
        <w:jc w:val="center"/>
        <w:rPr>
          <w:rFonts w:ascii="標楷體" w:eastAsia="標楷體" w:hAnsi="標楷體"/>
          <w:b/>
          <w:bCs/>
          <w:sz w:val="52"/>
          <w:szCs w:val="52"/>
        </w:rPr>
      </w:pPr>
    </w:p>
    <w:p w:rsidR="00912331" w:rsidRPr="00900F71" w:rsidRDefault="00912331">
      <w:pPr>
        <w:spacing w:before="40"/>
        <w:ind w:left="120" w:right="100"/>
        <w:jc w:val="center"/>
        <w:rPr>
          <w:rFonts w:ascii="標楷體" w:eastAsia="標楷體" w:hAnsi="標楷體"/>
          <w:b/>
          <w:bCs/>
          <w:sz w:val="52"/>
          <w:szCs w:val="52"/>
        </w:rPr>
      </w:pPr>
    </w:p>
    <w:p w:rsidR="00912331" w:rsidRPr="00900F71" w:rsidRDefault="00900F71">
      <w:pPr>
        <w:jc w:val="center"/>
        <w:rPr>
          <w:rFonts w:ascii="標楷體" w:eastAsia="標楷體" w:hAnsi="標楷體"/>
          <w:b/>
          <w:bCs/>
          <w:sz w:val="40"/>
          <w:szCs w:val="40"/>
        </w:rPr>
      </w:pPr>
      <w:r w:rsidRPr="00900F71">
        <w:rPr>
          <w:rFonts w:ascii="標楷體" w:eastAsia="標楷體" w:hAnsi="標楷體" w:cs="Arial Unicode MS"/>
          <w:b/>
          <w:bCs/>
          <w:sz w:val="40"/>
          <w:szCs w:val="40"/>
        </w:rPr>
        <w:t xml:space="preserve">第5組 </w:t>
      </w:r>
    </w:p>
    <w:p w:rsidR="00912331" w:rsidRPr="00900F71" w:rsidRDefault="00900F71">
      <w:pPr>
        <w:spacing w:line="240" w:lineRule="auto"/>
        <w:rPr>
          <w:rFonts w:ascii="標楷體" w:eastAsia="標楷體" w:hAnsi="標楷體"/>
          <w:sz w:val="40"/>
          <w:szCs w:val="40"/>
        </w:rPr>
      </w:pPr>
      <w:r w:rsidRPr="00900F71">
        <w:rPr>
          <w:rFonts w:ascii="標楷體" w:eastAsia="標楷體" w:hAnsi="標楷體"/>
          <w:sz w:val="40"/>
          <w:szCs w:val="40"/>
        </w:rPr>
        <w:t xml:space="preserve">                                              </w:t>
      </w:r>
    </w:p>
    <w:p w:rsidR="00912331" w:rsidRPr="00900F71" w:rsidRDefault="00900F71">
      <w:pPr>
        <w:spacing w:line="240" w:lineRule="auto"/>
        <w:ind w:left="850"/>
        <w:rPr>
          <w:rFonts w:ascii="標楷體" w:eastAsia="標楷體" w:hAnsi="標楷體"/>
          <w:sz w:val="40"/>
          <w:szCs w:val="40"/>
        </w:rPr>
      </w:pPr>
      <w:r w:rsidRPr="00900F71">
        <w:rPr>
          <w:rFonts w:ascii="標楷體" w:eastAsia="標楷體" w:hAnsi="標楷體"/>
          <w:sz w:val="40"/>
          <w:szCs w:val="40"/>
        </w:rPr>
        <w:t xml:space="preserve">       </w:t>
      </w:r>
    </w:p>
    <w:p w:rsidR="00912331" w:rsidRPr="00900F71" w:rsidRDefault="00806C78">
      <w:pPr>
        <w:spacing w:line="240" w:lineRule="auto"/>
        <w:ind w:left="850"/>
        <w:rPr>
          <w:rFonts w:ascii="標楷體" w:eastAsia="標楷體" w:hAnsi="標楷體"/>
          <w:sz w:val="40"/>
          <w:szCs w:val="40"/>
        </w:rPr>
      </w:pPr>
      <w:r>
        <w:rPr>
          <w:rFonts w:ascii="標楷體" w:eastAsia="標楷體" w:hAnsi="標楷體" w:cs="Arial Unicode MS"/>
          <w:sz w:val="40"/>
          <w:szCs w:val="40"/>
        </w:rPr>
        <w:t xml:space="preserve">      </w:t>
      </w:r>
      <w:r w:rsidR="00900F71" w:rsidRPr="00900F71">
        <w:rPr>
          <w:rFonts w:ascii="標楷體" w:eastAsia="標楷體" w:hAnsi="標楷體" w:cs="Arial Unicode MS"/>
          <w:sz w:val="40"/>
          <w:szCs w:val="40"/>
        </w:rPr>
        <w:t>組員： A1125508  吳晧安</w:t>
      </w:r>
    </w:p>
    <w:p w:rsidR="00912331" w:rsidRPr="00900F71" w:rsidRDefault="00806C78">
      <w:pPr>
        <w:ind w:left="566"/>
        <w:jc w:val="center"/>
        <w:rPr>
          <w:rFonts w:ascii="標楷體" w:eastAsia="標楷體" w:hAnsi="標楷體"/>
          <w:sz w:val="40"/>
          <w:szCs w:val="40"/>
        </w:rPr>
      </w:pPr>
      <w:r>
        <w:rPr>
          <w:rFonts w:ascii="標楷體" w:eastAsia="標楷體" w:hAnsi="標楷體" w:cs="Arial Unicode MS"/>
          <w:sz w:val="40"/>
          <w:szCs w:val="40"/>
        </w:rPr>
        <w:t xml:space="preserve">   </w:t>
      </w:r>
      <w:r w:rsidR="00900F71" w:rsidRPr="00900F71">
        <w:rPr>
          <w:rFonts w:ascii="標楷體" w:eastAsia="標楷體" w:hAnsi="標楷體" w:cs="Arial Unicode MS"/>
          <w:sz w:val="40"/>
          <w:szCs w:val="40"/>
        </w:rPr>
        <w:t>A1125509  鄭仁凱</w:t>
      </w:r>
    </w:p>
    <w:p w:rsidR="00912331" w:rsidRPr="00900F71" w:rsidRDefault="00806C78">
      <w:pPr>
        <w:ind w:left="566"/>
        <w:jc w:val="center"/>
        <w:rPr>
          <w:rFonts w:ascii="標楷體" w:eastAsia="標楷體" w:hAnsi="標楷體"/>
          <w:sz w:val="40"/>
          <w:szCs w:val="40"/>
        </w:rPr>
      </w:pPr>
      <w:r>
        <w:rPr>
          <w:rFonts w:ascii="標楷體" w:eastAsia="標楷體" w:hAnsi="標楷體" w:cs="Arial Unicode MS"/>
          <w:sz w:val="40"/>
          <w:szCs w:val="40"/>
        </w:rPr>
        <w:t xml:space="preserve">   </w:t>
      </w:r>
      <w:r w:rsidR="00900F71" w:rsidRPr="00900F71">
        <w:rPr>
          <w:rFonts w:ascii="標楷體" w:eastAsia="標楷體" w:hAnsi="標楷體" w:cs="Arial Unicode MS"/>
          <w:sz w:val="40"/>
          <w:szCs w:val="40"/>
        </w:rPr>
        <w:t xml:space="preserve">A1125510  </w:t>
      </w:r>
      <w:proofErr w:type="gramStart"/>
      <w:r w:rsidR="00900F71" w:rsidRPr="00900F71">
        <w:rPr>
          <w:rFonts w:ascii="標楷體" w:eastAsia="標楷體" w:hAnsi="標楷體" w:cs="Arial Unicode MS"/>
          <w:sz w:val="40"/>
          <w:szCs w:val="40"/>
        </w:rPr>
        <w:t>余</w:t>
      </w:r>
      <w:proofErr w:type="gramEnd"/>
      <w:r w:rsidR="00900F71" w:rsidRPr="00900F71">
        <w:rPr>
          <w:rFonts w:ascii="標楷體" w:eastAsia="標楷體" w:hAnsi="標楷體" w:cs="Arial Unicode MS"/>
          <w:sz w:val="40"/>
          <w:szCs w:val="40"/>
        </w:rPr>
        <w:t>仲評</w:t>
      </w:r>
    </w:p>
    <w:p w:rsidR="00912331" w:rsidRPr="00900F71" w:rsidRDefault="00806C78">
      <w:pPr>
        <w:spacing w:line="240" w:lineRule="auto"/>
        <w:ind w:left="850"/>
        <w:rPr>
          <w:rFonts w:ascii="標楷體" w:eastAsia="標楷體" w:hAnsi="標楷體"/>
          <w:sz w:val="40"/>
          <w:szCs w:val="40"/>
        </w:rPr>
      </w:pPr>
      <w:r>
        <w:rPr>
          <w:rFonts w:ascii="標楷體" w:eastAsia="標楷體" w:hAnsi="標楷體" w:cs="Arial Unicode MS"/>
          <w:sz w:val="40"/>
          <w:szCs w:val="40"/>
        </w:rPr>
        <w:t xml:space="preserve">             </w:t>
      </w:r>
      <w:r w:rsidR="00900F71" w:rsidRPr="00900F71">
        <w:rPr>
          <w:rFonts w:ascii="標楷體" w:eastAsia="標楷體" w:hAnsi="標楷體" w:cs="Arial Unicode MS"/>
          <w:sz w:val="40"/>
          <w:szCs w:val="40"/>
        </w:rPr>
        <w:t>A1125511  林猷樂</w:t>
      </w:r>
    </w:p>
    <w:p w:rsidR="00912331" w:rsidRPr="00900F71" w:rsidRDefault="00912331">
      <w:pPr>
        <w:spacing w:line="240" w:lineRule="auto"/>
        <w:ind w:left="850"/>
        <w:rPr>
          <w:rFonts w:ascii="標楷體" w:eastAsia="標楷體" w:hAnsi="標楷體"/>
          <w:sz w:val="40"/>
          <w:szCs w:val="40"/>
        </w:rPr>
      </w:pPr>
      <w:bookmarkStart w:id="0" w:name="_GoBack"/>
      <w:bookmarkEnd w:id="0"/>
    </w:p>
    <w:p w:rsidR="00912331" w:rsidRPr="00900F71" w:rsidRDefault="00912331">
      <w:pPr>
        <w:spacing w:line="240" w:lineRule="auto"/>
        <w:ind w:left="850"/>
        <w:rPr>
          <w:rFonts w:ascii="標楷體" w:eastAsia="標楷體" w:hAnsi="標楷體"/>
          <w:sz w:val="40"/>
          <w:szCs w:val="40"/>
        </w:rPr>
      </w:pPr>
    </w:p>
    <w:p w:rsidR="00912331" w:rsidRPr="00900F71" w:rsidRDefault="00912331">
      <w:pPr>
        <w:spacing w:line="240" w:lineRule="auto"/>
        <w:ind w:left="850"/>
        <w:rPr>
          <w:rFonts w:ascii="標楷體" w:eastAsia="標楷體" w:hAnsi="標楷體"/>
          <w:sz w:val="40"/>
          <w:szCs w:val="40"/>
        </w:rPr>
      </w:pPr>
    </w:p>
    <w:p w:rsidR="00912331" w:rsidRPr="00900F71" w:rsidRDefault="00912331">
      <w:pPr>
        <w:spacing w:line="240" w:lineRule="auto"/>
        <w:ind w:left="850"/>
        <w:rPr>
          <w:rFonts w:ascii="標楷體" w:eastAsia="標楷體" w:hAnsi="標楷體"/>
          <w:sz w:val="40"/>
          <w:szCs w:val="40"/>
        </w:rPr>
      </w:pPr>
    </w:p>
    <w:p w:rsidR="00912331" w:rsidRPr="00900F71" w:rsidRDefault="00900F71">
      <w:pPr>
        <w:jc w:val="center"/>
        <w:rPr>
          <w:rFonts w:ascii="標楷體" w:eastAsia="標楷體" w:hAnsi="標楷體"/>
          <w:sz w:val="40"/>
          <w:szCs w:val="40"/>
        </w:rPr>
      </w:pPr>
      <w:r w:rsidRPr="00900F71">
        <w:rPr>
          <w:rFonts w:ascii="標楷體" w:eastAsia="標楷體" w:hAnsi="標楷體" w:cs="Arial Unicode MS"/>
          <w:sz w:val="40"/>
          <w:szCs w:val="40"/>
        </w:rPr>
        <w:t>指導教授：黃健峯 教授</w:t>
      </w:r>
    </w:p>
    <w:p w:rsidR="00912331" w:rsidRPr="00900F71" w:rsidRDefault="00912331">
      <w:pPr>
        <w:jc w:val="center"/>
        <w:rPr>
          <w:rFonts w:ascii="標楷體" w:eastAsia="標楷體" w:hAnsi="標楷體"/>
          <w:sz w:val="40"/>
          <w:szCs w:val="40"/>
        </w:rPr>
      </w:pPr>
    </w:p>
    <w:p w:rsidR="00912331" w:rsidRPr="00900F71" w:rsidRDefault="00912331">
      <w:pPr>
        <w:jc w:val="center"/>
        <w:rPr>
          <w:rFonts w:ascii="標楷體" w:eastAsia="標楷體" w:hAnsi="標楷體"/>
          <w:sz w:val="40"/>
          <w:szCs w:val="40"/>
        </w:rPr>
      </w:pPr>
    </w:p>
    <w:p w:rsidR="00912331" w:rsidRPr="00900F71" w:rsidRDefault="00912331">
      <w:pPr>
        <w:jc w:val="center"/>
        <w:rPr>
          <w:rFonts w:ascii="標楷體" w:eastAsia="標楷體" w:hAnsi="標楷體"/>
          <w:sz w:val="40"/>
          <w:szCs w:val="40"/>
        </w:rPr>
      </w:pPr>
    </w:p>
    <w:p w:rsidR="00912331" w:rsidRPr="00900F71" w:rsidRDefault="00912331" w:rsidP="00900F71">
      <w:pPr>
        <w:rPr>
          <w:rFonts w:ascii="標楷體" w:eastAsia="標楷體" w:hAnsi="標楷體"/>
          <w:sz w:val="40"/>
          <w:szCs w:val="40"/>
        </w:rPr>
      </w:pP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lastRenderedPageBreak/>
        <w:t>前言</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此專題是在建構一套量化交易回測框架，針對特定股票母體</w:t>
      </w:r>
      <w:proofErr w:type="gramStart"/>
      <w:r w:rsidRPr="00900F71">
        <w:rPr>
          <w:rFonts w:ascii="標楷體" w:eastAsia="標楷體" w:hAnsi="標楷體" w:cs="Arial Unicode MS"/>
          <w:sz w:val="24"/>
          <w:szCs w:val="24"/>
        </w:rPr>
        <w:t>——</w:t>
      </w:r>
      <w:proofErr w:type="gramEnd"/>
      <w:r w:rsidRPr="00900F71">
        <w:rPr>
          <w:rFonts w:ascii="標楷體" w:eastAsia="標楷體" w:hAnsi="標楷體" w:cs="Arial Unicode MS"/>
          <w:sz w:val="24"/>
          <w:szCs w:val="24"/>
        </w:rPr>
        <w:t>McDonald's Corporation (MCD)、The Coca-Cola Company (KO)、Apple Inc. (AAPL)、Microsoft Corporation (MSFT) 與 Oracle Corporation (ORCL)，評估多種基礎投資策略與配對交易（Pairs Trading）策略的長期績效與穩定性。在實作研究中，使用 1996 年至 2026 年近 30 年的歷史資料，探討不同交易策略在風險與報酬上的表現，並進一步驗證以相關性為基礎之配對交易策略在實際市場中的有效性，作為量化策略開發與投資分析之參考。</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此專題分為兩大部分。第一部分為單一股票回測，設定初始資本為 10,000 美元，分別測試買入持有（Buy-and-Hold）、定期定額（Fair DCA），以及三組不同週期之簡單移動平均線交叉策略（SMA 20/60、SMA 50/200、SMA 100/300），分析各策略於長期投資中的績效差異與風險特徵。</w:t>
      </w:r>
    </w:p>
    <w:p w:rsidR="00912331" w:rsidRPr="00900F71" w:rsidRDefault="00900F71" w:rsidP="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第二部分則為配對交易策略驗證。研究排除市場基準 SPY 後，利用訓練期間之日報酬相關性篩選股票配對，並採用 Z-score 價差交易策略進行回測。為降低前</w:t>
      </w:r>
      <w:proofErr w:type="gramStart"/>
      <w:r w:rsidRPr="00900F71">
        <w:rPr>
          <w:rFonts w:ascii="標楷體" w:eastAsia="標楷體" w:hAnsi="標楷體" w:cs="Arial Unicode MS"/>
          <w:sz w:val="24"/>
          <w:szCs w:val="24"/>
        </w:rPr>
        <w:t>視偏誤</w:t>
      </w:r>
      <w:proofErr w:type="gramEnd"/>
      <w:r w:rsidRPr="00900F71">
        <w:rPr>
          <w:rFonts w:ascii="標楷體" w:eastAsia="標楷體" w:hAnsi="標楷體" w:cs="Arial Unicode MS"/>
          <w:sz w:val="24"/>
          <w:szCs w:val="24"/>
        </w:rPr>
        <w:t xml:space="preserve">（Look-ahead Bias）並檢驗策略於樣本外資料中的穩定性，研究導入擴增視窗（Expanding Window）時間驗證機制，總共劃分 750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測試視窗進行分析，以提升回測結果之可信度與實務參考價值。</w:t>
      </w: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資料與研究設計</w:t>
      </w:r>
    </w:p>
    <w:p w:rsidR="00912331" w:rsidRPr="00900F71" w:rsidRDefault="00900F71">
      <w:pPr>
        <w:spacing w:before="240" w:after="240"/>
        <w:ind w:firstLine="566"/>
        <w:rPr>
          <w:rFonts w:ascii="標楷體" w:eastAsia="標楷體" w:hAnsi="標楷體"/>
          <w:b/>
          <w:bCs/>
          <w:sz w:val="24"/>
          <w:szCs w:val="24"/>
        </w:rPr>
      </w:pPr>
      <w:r w:rsidRPr="00900F71">
        <w:rPr>
          <w:rFonts w:ascii="標楷體" w:eastAsia="標楷體" w:hAnsi="標楷體"/>
          <w:b/>
          <w:bCs/>
          <w:sz w:val="28"/>
          <w:szCs w:val="28"/>
        </w:rPr>
        <w:t xml:space="preserve">2.1 </w:t>
      </w:r>
      <w:r w:rsidRPr="00900F71">
        <w:rPr>
          <w:rFonts w:ascii="標楷體" w:eastAsia="標楷體" w:hAnsi="標楷體" w:cs="Arial Unicode MS"/>
          <w:b/>
          <w:bCs/>
          <w:sz w:val="24"/>
          <w:szCs w:val="24"/>
        </w:rPr>
        <w:t>樣本標的與資料來源</w:t>
      </w:r>
    </w:p>
    <w:p w:rsidR="00912331" w:rsidRPr="00900F71" w:rsidRDefault="00900F71">
      <w:pPr>
        <w:spacing w:before="240" w:after="240"/>
        <w:ind w:left="566"/>
        <w:rPr>
          <w:rFonts w:ascii="標楷體" w:eastAsia="標楷體" w:hAnsi="標楷體"/>
          <w:sz w:val="24"/>
          <w:szCs w:val="24"/>
        </w:rPr>
      </w:pPr>
      <w:r w:rsidRPr="00900F71">
        <w:rPr>
          <w:rFonts w:ascii="標楷體" w:eastAsia="標楷體" w:hAnsi="標楷體" w:cs="Arial Unicode MS"/>
          <w:sz w:val="24"/>
          <w:szCs w:val="24"/>
        </w:rPr>
        <w:t>本研究之正式標的母體包含五檔具有代表性的美股個股，並選定 SPDR S&amp;P 500 ETF (SPY) 作為市場基準。</w:t>
      </w:r>
    </w:p>
    <w:p w:rsidR="00912331" w:rsidRPr="00900F71" w:rsidRDefault="00900F71" w:rsidP="00900F71">
      <w:pPr>
        <w:pStyle w:val="af4"/>
        <w:numPr>
          <w:ilvl w:val="0"/>
          <w:numId w:val="19"/>
        </w:numPr>
        <w:spacing w:before="240"/>
        <w:ind w:leftChars="0"/>
        <w:rPr>
          <w:rFonts w:ascii="標楷體" w:eastAsia="標楷體" w:hAnsi="標楷體"/>
          <w:sz w:val="24"/>
          <w:szCs w:val="24"/>
        </w:rPr>
      </w:pPr>
      <w:r w:rsidRPr="00900F71">
        <w:rPr>
          <w:rFonts w:ascii="標楷體" w:eastAsia="標楷體" w:hAnsi="標楷體" w:cs="Arial Unicode MS"/>
          <w:sz w:val="24"/>
          <w:szCs w:val="24"/>
        </w:rPr>
        <w:t>核心標的核心股票池 ：McDonald's (MCD)、Coca-Cola (KO)、Apple (AAPL)、Microsoft (MSFT)、Oracle (ORCL)。</w:t>
      </w:r>
    </w:p>
    <w:p w:rsidR="00912331" w:rsidRPr="00900F71" w:rsidRDefault="00900F71" w:rsidP="00900F71">
      <w:pPr>
        <w:pStyle w:val="af4"/>
        <w:numPr>
          <w:ilvl w:val="0"/>
          <w:numId w:val="19"/>
        </w:numPr>
        <w:ind w:leftChars="0"/>
        <w:rPr>
          <w:rFonts w:ascii="標楷體" w:eastAsia="標楷體" w:hAnsi="標楷體"/>
          <w:sz w:val="24"/>
          <w:szCs w:val="24"/>
        </w:rPr>
      </w:pPr>
      <w:r w:rsidRPr="00900F71">
        <w:rPr>
          <w:rFonts w:ascii="標楷體" w:eastAsia="標楷體" w:hAnsi="標楷體" w:cs="Arial Unicode MS"/>
          <w:sz w:val="24"/>
          <w:szCs w:val="24"/>
        </w:rPr>
        <w:t>市場基準 (Benchmark)：SPY（僅用於績效對照，不參與策略訊號生成）。</w:t>
      </w:r>
    </w:p>
    <w:p w:rsidR="00912331" w:rsidRPr="00900F71" w:rsidRDefault="00900F71" w:rsidP="00900F71">
      <w:pPr>
        <w:pStyle w:val="af4"/>
        <w:numPr>
          <w:ilvl w:val="0"/>
          <w:numId w:val="19"/>
        </w:numPr>
        <w:ind w:leftChars="0"/>
        <w:rPr>
          <w:rFonts w:ascii="標楷體" w:eastAsia="標楷體" w:hAnsi="標楷體"/>
          <w:sz w:val="24"/>
          <w:szCs w:val="24"/>
        </w:rPr>
      </w:pPr>
      <w:r w:rsidRPr="00900F71">
        <w:rPr>
          <w:rFonts w:ascii="標楷體" w:eastAsia="標楷體" w:hAnsi="標楷體" w:cs="Arial Unicode MS"/>
          <w:sz w:val="24"/>
          <w:szCs w:val="24"/>
        </w:rPr>
        <w:t xml:space="preserve">資料來源：透過 </w:t>
      </w:r>
      <w:proofErr w:type="spellStart"/>
      <w:r w:rsidRPr="00900F71">
        <w:rPr>
          <w:rFonts w:ascii="標楷體" w:eastAsia="標楷體" w:hAnsi="標楷體" w:cs="Arial Unicode MS"/>
          <w:sz w:val="24"/>
          <w:szCs w:val="24"/>
        </w:rPr>
        <w:t>yfinance</w:t>
      </w:r>
      <w:proofErr w:type="spellEnd"/>
      <w:r w:rsidRPr="00900F71">
        <w:rPr>
          <w:rFonts w:ascii="標楷體" w:eastAsia="標楷體" w:hAnsi="標楷體" w:cs="Arial Unicode MS"/>
          <w:sz w:val="24"/>
          <w:szCs w:val="24"/>
        </w:rPr>
        <w:t xml:space="preserve"> 獲取 Yahoo Finance 歷史數據。</w:t>
      </w:r>
    </w:p>
    <w:p w:rsidR="00912331" w:rsidRPr="00900F71" w:rsidRDefault="00900F71" w:rsidP="00900F71">
      <w:pPr>
        <w:pStyle w:val="af4"/>
        <w:numPr>
          <w:ilvl w:val="0"/>
          <w:numId w:val="19"/>
        </w:numPr>
        <w:ind w:leftChars="0"/>
        <w:rPr>
          <w:rFonts w:ascii="標楷體" w:eastAsia="標楷體" w:hAnsi="標楷體"/>
          <w:sz w:val="24"/>
          <w:szCs w:val="24"/>
        </w:rPr>
      </w:pPr>
      <w:r w:rsidRPr="00900F71">
        <w:rPr>
          <w:rFonts w:ascii="標楷體" w:eastAsia="標楷體" w:hAnsi="標楷體" w:cs="Arial Unicode MS"/>
          <w:sz w:val="24"/>
          <w:szCs w:val="24"/>
        </w:rPr>
        <w:t>研究期間：1996 年 1 月 2 日至 2026 年 5 月 19 日。</w:t>
      </w:r>
    </w:p>
    <w:p w:rsidR="00912331" w:rsidRPr="00900F71" w:rsidRDefault="00900F71" w:rsidP="00900F71">
      <w:pPr>
        <w:pStyle w:val="af4"/>
        <w:numPr>
          <w:ilvl w:val="0"/>
          <w:numId w:val="19"/>
        </w:numPr>
        <w:spacing w:after="240"/>
        <w:ind w:leftChars="0"/>
        <w:rPr>
          <w:rFonts w:ascii="標楷體" w:eastAsia="標楷體" w:hAnsi="標楷體"/>
          <w:sz w:val="24"/>
          <w:szCs w:val="24"/>
        </w:rPr>
      </w:pPr>
      <w:r w:rsidRPr="00900F71">
        <w:rPr>
          <w:rFonts w:ascii="標楷體" w:eastAsia="標楷體" w:hAnsi="標楷體" w:cs="Arial Unicode MS"/>
          <w:sz w:val="24"/>
          <w:szCs w:val="24"/>
        </w:rPr>
        <w:t>數據處理：採用「調整後收盤價」(Adjusted Close) 以反映除權息與拆股之影響。</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2.2 策略設計與問題定義</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本研究將量化回測分為兩個主要問題：</w:t>
      </w:r>
    </w:p>
    <w:p w:rsidR="00912331" w:rsidRPr="00900F71" w:rsidRDefault="00900F71" w:rsidP="00900F71">
      <w:pPr>
        <w:spacing w:before="240" w:after="240"/>
        <w:ind w:leftChars="193" w:left="425" w:firstLine="425"/>
        <w:rPr>
          <w:rFonts w:ascii="標楷體" w:eastAsia="標楷體" w:hAnsi="標楷體"/>
          <w:sz w:val="24"/>
          <w:szCs w:val="24"/>
        </w:rPr>
      </w:pPr>
      <w:r w:rsidRPr="00900F71">
        <w:rPr>
          <w:rFonts w:ascii="標楷體" w:eastAsia="標楷體" w:hAnsi="標楷體"/>
          <w:b/>
          <w:bCs/>
          <w:sz w:val="24"/>
          <w:szCs w:val="24"/>
        </w:rPr>
        <w:t xml:space="preserve"> Problem 1</w:t>
      </w:r>
      <w:r w:rsidRPr="00900F71">
        <w:rPr>
          <w:rFonts w:ascii="標楷體" w:eastAsia="標楷體" w:hAnsi="標楷體" w:cs="Arial Unicode MS"/>
          <w:sz w:val="24"/>
          <w:szCs w:val="24"/>
        </w:rPr>
        <w:t xml:space="preserve"> 單一股票回測策略</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針對核心母體中的五檔股票，分別執行以下策略</w:t>
      </w:r>
      <w:proofErr w:type="gramStart"/>
      <w:r w:rsidRPr="00900F71">
        <w:rPr>
          <w:rFonts w:ascii="標楷體" w:eastAsia="標楷體" w:hAnsi="標楷體" w:cs="Arial Unicode MS"/>
          <w:sz w:val="24"/>
          <w:szCs w:val="24"/>
        </w:rPr>
        <w:t>（</w:t>
      </w:r>
      <w:proofErr w:type="gramEnd"/>
      <w:r w:rsidRPr="00900F71">
        <w:rPr>
          <w:rFonts w:ascii="標楷體" w:eastAsia="標楷體" w:hAnsi="標楷體" w:cs="Arial Unicode MS"/>
          <w:sz w:val="24"/>
          <w:szCs w:val="24"/>
        </w:rPr>
        <w:t>初始資本皆為 10,000 USD)</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1. 買入持有 (Buy-and-Hold)：期初全額投入並持有至期末。</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2. 定期定額 (Fair DCA)：將 10,000 USD 分散於 365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日曆月平均投入。</w:t>
      </w:r>
    </w:p>
    <w:p w:rsidR="00900F71" w:rsidRDefault="00900F71">
      <w:pPr>
        <w:spacing w:before="240" w:after="240" w:line="240" w:lineRule="auto"/>
        <w:rPr>
          <w:rFonts w:ascii="標楷體" w:eastAsia="標楷體" w:hAnsi="標楷體" w:cs="Arial Unicode MS"/>
          <w:sz w:val="24"/>
          <w:szCs w:val="24"/>
        </w:rPr>
      </w:pPr>
      <w:r>
        <w:rPr>
          <w:rFonts w:ascii="標楷體" w:eastAsia="標楷體" w:hAnsi="標楷體" w:cs="Arial Unicode MS"/>
          <w:sz w:val="24"/>
          <w:szCs w:val="24"/>
        </w:rPr>
        <w:t xml:space="preserve">        </w:t>
      </w:r>
      <w:r w:rsidRPr="00900F71">
        <w:rPr>
          <w:rFonts w:ascii="標楷體" w:eastAsia="標楷體" w:hAnsi="標楷體" w:cs="Arial Unicode MS"/>
          <w:sz w:val="24"/>
          <w:szCs w:val="24"/>
        </w:rPr>
        <w:t>3. SMA 交叉策略：包含20/60（短期）、50/200（中長期）、100/300</w:t>
      </w:r>
      <w:proofErr w:type="gramStart"/>
      <w:r w:rsidRPr="00900F71">
        <w:rPr>
          <w:rFonts w:ascii="標楷體" w:eastAsia="標楷體" w:hAnsi="標楷體" w:cs="Arial Unicode MS"/>
          <w:sz w:val="24"/>
          <w:szCs w:val="24"/>
        </w:rPr>
        <w:t>（</w:t>
      </w:r>
      <w:proofErr w:type="gramEnd"/>
      <w:r w:rsidRPr="00900F71">
        <w:rPr>
          <w:rFonts w:ascii="標楷體" w:eastAsia="標楷體" w:hAnsi="標楷體" w:cs="Arial Unicode MS"/>
          <w:sz w:val="24"/>
          <w:szCs w:val="24"/>
        </w:rPr>
        <w:t>長</w:t>
      </w:r>
    </w:p>
    <w:p w:rsidR="00912331" w:rsidRPr="00900F71" w:rsidRDefault="00900F71">
      <w:pPr>
        <w:spacing w:before="240" w:after="240" w:line="240" w:lineRule="auto"/>
        <w:rPr>
          <w:rFonts w:ascii="標楷體" w:eastAsia="標楷體" w:hAnsi="標楷體" w:cs="Arial Unicode MS"/>
          <w:sz w:val="24"/>
          <w:szCs w:val="24"/>
        </w:rPr>
      </w:pPr>
      <w:r>
        <w:rPr>
          <w:rFonts w:ascii="標楷體" w:eastAsia="標楷體" w:hAnsi="標楷體" w:cs="Arial Unicode MS" w:hint="eastAsia"/>
          <w:sz w:val="24"/>
          <w:szCs w:val="24"/>
        </w:rPr>
        <w:t xml:space="preserve">           </w:t>
      </w:r>
      <w:r w:rsidRPr="00900F71">
        <w:rPr>
          <w:rFonts w:ascii="標楷體" w:eastAsia="標楷體" w:hAnsi="標楷體" w:cs="Arial Unicode MS"/>
          <w:sz w:val="24"/>
          <w:szCs w:val="24"/>
        </w:rPr>
        <w:t xml:space="preserve">期)       </w:t>
      </w:r>
    </w:p>
    <w:p w:rsidR="00912331" w:rsidRPr="00900F71" w:rsidRDefault="00900F71">
      <w:pPr>
        <w:spacing w:before="240" w:after="240" w:line="240" w:lineRule="auto"/>
        <w:rPr>
          <w:rFonts w:ascii="標楷體" w:eastAsia="標楷體" w:hAnsi="標楷體"/>
          <w:sz w:val="24"/>
          <w:szCs w:val="24"/>
        </w:rPr>
      </w:pPr>
      <w:r>
        <w:rPr>
          <w:rFonts w:ascii="標楷體" w:eastAsia="標楷體" w:hAnsi="標楷體" w:cs="Arial Unicode MS"/>
          <w:sz w:val="24"/>
          <w:szCs w:val="24"/>
        </w:rPr>
        <w:t xml:space="preserve">           </w:t>
      </w:r>
      <w:r w:rsidRPr="00900F71">
        <w:rPr>
          <w:rFonts w:ascii="標楷體" w:eastAsia="標楷體" w:hAnsi="標楷體" w:cs="Arial Unicode MS"/>
          <w:sz w:val="24"/>
          <w:szCs w:val="24"/>
        </w:rPr>
        <w:t>三組參數 ，</w:t>
      </w:r>
      <w:proofErr w:type="gramStart"/>
      <w:r w:rsidRPr="00900F71">
        <w:rPr>
          <w:rFonts w:ascii="標楷體" w:eastAsia="標楷體" w:hAnsi="標楷體" w:cs="Arial Unicode MS"/>
          <w:sz w:val="24"/>
          <w:szCs w:val="24"/>
        </w:rPr>
        <w:t>當短均線</w:t>
      </w:r>
      <w:proofErr w:type="gramEnd"/>
      <w:r w:rsidRPr="00900F71">
        <w:rPr>
          <w:rFonts w:ascii="標楷體" w:eastAsia="標楷體" w:hAnsi="標楷體" w:cs="Arial Unicode MS"/>
          <w:sz w:val="24"/>
          <w:szCs w:val="24"/>
        </w:rPr>
        <w:t>向上突破</w:t>
      </w:r>
      <w:proofErr w:type="gramStart"/>
      <w:r w:rsidRPr="00900F71">
        <w:rPr>
          <w:rFonts w:ascii="標楷體" w:eastAsia="標楷體" w:hAnsi="標楷體" w:cs="Arial Unicode MS"/>
          <w:sz w:val="24"/>
          <w:szCs w:val="24"/>
        </w:rPr>
        <w:t>長均線時</w:t>
      </w:r>
      <w:proofErr w:type="gramEnd"/>
      <w:r w:rsidRPr="00900F71">
        <w:rPr>
          <w:rFonts w:ascii="標楷體" w:eastAsia="標楷體" w:hAnsi="標楷體" w:cs="Arial Unicode MS"/>
          <w:sz w:val="24"/>
          <w:szCs w:val="24"/>
        </w:rPr>
        <w:t>進場持有，反之則空手。</w:t>
      </w:r>
    </w:p>
    <w:p w:rsidR="00912331" w:rsidRPr="00900F71" w:rsidRDefault="00900F71">
      <w:pPr>
        <w:spacing w:before="240" w:after="240" w:line="240" w:lineRule="auto"/>
        <w:rPr>
          <w:rFonts w:ascii="標楷體" w:eastAsia="標楷體" w:hAnsi="標楷體"/>
          <w:sz w:val="24"/>
          <w:szCs w:val="24"/>
        </w:rPr>
      </w:pPr>
      <w:r w:rsidRPr="00900F71">
        <w:rPr>
          <w:rFonts w:ascii="標楷體" w:eastAsia="標楷體" w:hAnsi="標楷體"/>
          <w:sz w:val="24"/>
          <w:szCs w:val="24"/>
        </w:rPr>
        <w:t xml:space="preserve">         </w:t>
      </w:r>
      <w:r w:rsidRPr="00900F71">
        <w:rPr>
          <w:rFonts w:ascii="標楷體" w:eastAsia="標楷體" w:hAnsi="標楷體"/>
          <w:b/>
          <w:bCs/>
          <w:sz w:val="24"/>
          <w:szCs w:val="24"/>
        </w:rPr>
        <w:t>Problem 2</w:t>
      </w:r>
      <w:r w:rsidRPr="00900F71">
        <w:rPr>
          <w:rFonts w:ascii="標楷體" w:eastAsia="標楷體" w:hAnsi="標楷體" w:cs="Arial Unicode MS"/>
          <w:sz w:val="24"/>
          <w:szCs w:val="24"/>
        </w:rPr>
        <w:t xml:space="preserve"> 配對交易驗證 </w:t>
      </w:r>
    </w:p>
    <w:p w:rsidR="00912331" w:rsidRPr="00900F71" w:rsidRDefault="00900F71" w:rsidP="00900F71">
      <w:pPr>
        <w:spacing w:before="240" w:after="240" w:line="240" w:lineRule="auto"/>
        <w:ind w:left="993"/>
        <w:rPr>
          <w:rFonts w:ascii="標楷體" w:eastAsia="標楷體" w:hAnsi="標楷體"/>
          <w:sz w:val="24"/>
          <w:szCs w:val="24"/>
        </w:rPr>
      </w:pPr>
      <w:r w:rsidRPr="00900F71">
        <w:rPr>
          <w:rFonts w:ascii="標楷體" w:eastAsia="標楷體" w:hAnsi="標楷體" w:cs="Arial Unicode MS"/>
          <w:sz w:val="24"/>
          <w:szCs w:val="24"/>
        </w:rPr>
        <w:t xml:space="preserve">在排除 SPY 的前提下，利用訓練期的日報酬相關性篩選最佳配對（如   MSFT-ORCL），並使用 Z-score 價差策略進行模擬。設定|Z-score| </w:t>
      </w:r>
      <w:r w:rsidRPr="00900F71">
        <w:rPr>
          <w:rFonts w:ascii="Times New Roman" w:eastAsia="標楷體" w:hAnsi="Times New Roman" w:cs="Times New Roman"/>
          <w:sz w:val="24"/>
          <w:szCs w:val="24"/>
        </w:rPr>
        <w:t>≥</w:t>
      </w:r>
      <w:r w:rsidRPr="00900F71">
        <w:rPr>
          <w:rFonts w:ascii="標楷體" w:eastAsia="標楷體" w:hAnsi="標楷體" w:cs="Arial Unicode MS"/>
          <w:sz w:val="24"/>
          <w:szCs w:val="24"/>
        </w:rPr>
        <w:t xml:space="preserve"> 2 時進行反向開倉（多空各 50%），|Z-score| &lt; 0.5 時平倉。</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2.3 時間驗證與穩健性測試 (Temporal Validation)</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為避免</w:t>
      </w:r>
      <w:proofErr w:type="gramStart"/>
      <w:r w:rsidRPr="00900F71">
        <w:rPr>
          <w:rFonts w:ascii="標楷體" w:eastAsia="標楷體" w:hAnsi="標楷體" w:cs="Arial Unicode MS"/>
          <w:sz w:val="24"/>
          <w:szCs w:val="24"/>
        </w:rPr>
        <w:t>數據偏誤</w:t>
      </w:r>
      <w:proofErr w:type="gramEnd"/>
      <w:r w:rsidRPr="00900F71">
        <w:rPr>
          <w:rFonts w:ascii="標楷體" w:eastAsia="標楷體" w:hAnsi="標楷體" w:cs="Arial Unicode MS"/>
          <w:sz w:val="24"/>
          <w:szCs w:val="24"/>
        </w:rPr>
        <w:t>，本研究採用「擴增視窗」(Expanding Window) 驗證機制：</w:t>
      </w:r>
    </w:p>
    <w:p w:rsidR="00912331" w:rsidRPr="00900F71" w:rsidRDefault="00900F71" w:rsidP="00900F71">
      <w:pPr>
        <w:pStyle w:val="af4"/>
        <w:numPr>
          <w:ilvl w:val="0"/>
          <w:numId w:val="20"/>
        </w:numPr>
        <w:pBdr>
          <w:top w:val="nil"/>
          <w:left w:val="nil"/>
          <w:bottom w:val="nil"/>
          <w:right w:val="nil"/>
          <w:between w:val="nil"/>
        </w:pBdr>
        <w:spacing w:before="240"/>
        <w:ind w:leftChars="0" w:left="1418"/>
        <w:rPr>
          <w:rFonts w:ascii="標楷體" w:eastAsia="標楷體" w:hAnsi="標楷體"/>
          <w:sz w:val="24"/>
          <w:szCs w:val="24"/>
        </w:rPr>
      </w:pPr>
      <w:r w:rsidRPr="00900F71">
        <w:rPr>
          <w:rFonts w:ascii="標楷體" w:eastAsia="標楷體" w:hAnsi="標楷體" w:cs="Arial Unicode MS"/>
          <w:sz w:val="24"/>
          <w:szCs w:val="24"/>
        </w:rPr>
        <w:t xml:space="preserve">驗證規模：共計 30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驗證視窗，產生 750 筆測試記錄。</w:t>
      </w:r>
    </w:p>
    <w:p w:rsidR="00912331" w:rsidRPr="00900F71" w:rsidRDefault="00900F71" w:rsidP="00900F71">
      <w:pPr>
        <w:pStyle w:val="af4"/>
        <w:numPr>
          <w:ilvl w:val="0"/>
          <w:numId w:val="20"/>
        </w:numPr>
        <w:pBdr>
          <w:top w:val="nil"/>
          <w:left w:val="nil"/>
          <w:bottom w:val="nil"/>
          <w:right w:val="nil"/>
          <w:between w:val="nil"/>
        </w:pBdr>
        <w:spacing w:after="240"/>
        <w:ind w:leftChars="0" w:left="1418"/>
        <w:rPr>
          <w:rFonts w:ascii="標楷體" w:eastAsia="標楷體" w:hAnsi="標楷體"/>
          <w:sz w:val="24"/>
          <w:szCs w:val="24"/>
        </w:rPr>
      </w:pPr>
      <w:r w:rsidRPr="00900F71">
        <w:rPr>
          <w:rFonts w:ascii="標楷體" w:eastAsia="標楷體" w:hAnsi="標楷體" w:cs="Arial Unicode MS"/>
          <w:sz w:val="24"/>
          <w:szCs w:val="24"/>
        </w:rPr>
        <w:t>穩定性指標：計算正報酬視窗</w:t>
      </w:r>
      <w:proofErr w:type="gramStart"/>
      <w:r w:rsidRPr="00900F71">
        <w:rPr>
          <w:rFonts w:ascii="標楷體" w:eastAsia="標楷體" w:hAnsi="標楷體" w:cs="Arial Unicode MS"/>
          <w:sz w:val="24"/>
          <w:szCs w:val="24"/>
        </w:rPr>
        <w:t>佔</w:t>
      </w:r>
      <w:proofErr w:type="gramEnd"/>
      <w:r w:rsidRPr="00900F71">
        <w:rPr>
          <w:rFonts w:ascii="標楷體" w:eastAsia="標楷體" w:hAnsi="標楷體" w:cs="Arial Unicode MS"/>
          <w:sz w:val="24"/>
          <w:szCs w:val="24"/>
        </w:rPr>
        <w:t>比 (Positive Windows %) 以及超越市場基準</w:t>
      </w:r>
      <w:proofErr w:type="gramStart"/>
      <w:r w:rsidRPr="00900F71">
        <w:rPr>
          <w:rFonts w:ascii="標楷體" w:eastAsia="標楷體" w:hAnsi="標楷體" w:cs="Arial Unicode MS"/>
          <w:sz w:val="24"/>
          <w:szCs w:val="24"/>
        </w:rPr>
        <w:t>佔</w:t>
      </w:r>
      <w:proofErr w:type="gramEnd"/>
      <w:r w:rsidRPr="00900F71">
        <w:rPr>
          <w:rFonts w:ascii="標楷體" w:eastAsia="標楷體" w:hAnsi="標楷體" w:cs="Arial Unicode MS"/>
          <w:sz w:val="24"/>
          <w:szCs w:val="24"/>
        </w:rPr>
        <w:t>比 (Outperform SPY %)。</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2.4 回測假設與限制</w:t>
      </w:r>
    </w:p>
    <w:p w:rsidR="00912331" w:rsidRPr="00900F71" w:rsidRDefault="00900F71">
      <w:pP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本研究設定之模擬環境如下：</w:t>
      </w:r>
    </w:p>
    <w:p w:rsidR="00912331" w:rsidRPr="00900F71" w:rsidRDefault="00900F71" w:rsidP="00900F71">
      <w:pPr>
        <w:pStyle w:val="af4"/>
        <w:numPr>
          <w:ilvl w:val="0"/>
          <w:numId w:val="21"/>
        </w:numPr>
        <w:pBdr>
          <w:top w:val="nil"/>
          <w:left w:val="nil"/>
          <w:bottom w:val="nil"/>
          <w:right w:val="nil"/>
          <w:between w:val="nil"/>
        </w:pBdr>
        <w:spacing w:before="240"/>
        <w:ind w:leftChars="0" w:left="1560"/>
        <w:rPr>
          <w:rFonts w:ascii="標楷體" w:eastAsia="標楷體" w:hAnsi="標楷體"/>
          <w:sz w:val="24"/>
          <w:szCs w:val="24"/>
        </w:rPr>
      </w:pPr>
      <w:r w:rsidRPr="00900F71">
        <w:rPr>
          <w:rFonts w:ascii="標楷體" w:eastAsia="標楷體" w:hAnsi="標楷體" w:cs="Arial Unicode MS"/>
          <w:sz w:val="24"/>
          <w:szCs w:val="24"/>
        </w:rPr>
        <w:t>交易執行：假設可進行零股交易 (Fractional Shares)。</w:t>
      </w:r>
    </w:p>
    <w:p w:rsidR="00912331" w:rsidRPr="00900F71" w:rsidRDefault="00900F71" w:rsidP="00900F71">
      <w:pPr>
        <w:pStyle w:val="af4"/>
        <w:numPr>
          <w:ilvl w:val="0"/>
          <w:numId w:val="21"/>
        </w:numPr>
        <w:pBdr>
          <w:top w:val="nil"/>
          <w:left w:val="nil"/>
          <w:bottom w:val="nil"/>
          <w:right w:val="nil"/>
          <w:between w:val="nil"/>
        </w:pBdr>
        <w:ind w:leftChars="0" w:left="1560"/>
        <w:rPr>
          <w:rFonts w:ascii="標楷體" w:eastAsia="標楷體" w:hAnsi="標楷體"/>
          <w:sz w:val="24"/>
          <w:szCs w:val="24"/>
        </w:rPr>
      </w:pPr>
      <w:r w:rsidRPr="00900F71">
        <w:rPr>
          <w:rFonts w:ascii="標楷體" w:eastAsia="標楷體" w:hAnsi="標楷體" w:cs="Arial Unicode MS"/>
          <w:sz w:val="24"/>
          <w:szCs w:val="24"/>
        </w:rPr>
        <w:t>成本忽略：未計算交易稅費、佣金、</w:t>
      </w:r>
      <w:proofErr w:type="gramStart"/>
      <w:r w:rsidRPr="00900F71">
        <w:rPr>
          <w:rFonts w:ascii="標楷體" w:eastAsia="標楷體" w:hAnsi="標楷體" w:cs="Arial Unicode MS"/>
          <w:sz w:val="24"/>
          <w:szCs w:val="24"/>
        </w:rPr>
        <w:t>滑價及</w:t>
      </w:r>
      <w:proofErr w:type="gramEnd"/>
      <w:r w:rsidRPr="00900F71">
        <w:rPr>
          <w:rFonts w:ascii="標楷體" w:eastAsia="標楷體" w:hAnsi="標楷體" w:cs="Arial Unicode MS"/>
          <w:sz w:val="24"/>
          <w:szCs w:val="24"/>
        </w:rPr>
        <w:t>借</w:t>
      </w:r>
      <w:proofErr w:type="gramStart"/>
      <w:r w:rsidRPr="00900F71">
        <w:rPr>
          <w:rFonts w:ascii="標楷體" w:eastAsia="標楷體" w:hAnsi="標楷體" w:cs="Arial Unicode MS"/>
          <w:sz w:val="24"/>
          <w:szCs w:val="24"/>
        </w:rPr>
        <w:t>券</w:t>
      </w:r>
      <w:proofErr w:type="gramEnd"/>
      <w:r w:rsidRPr="00900F71">
        <w:rPr>
          <w:rFonts w:ascii="標楷體" w:eastAsia="標楷體" w:hAnsi="標楷體" w:cs="Arial Unicode MS"/>
          <w:sz w:val="24"/>
          <w:szCs w:val="24"/>
        </w:rPr>
        <w:t>成本。</w:t>
      </w:r>
    </w:p>
    <w:p w:rsidR="00912331" w:rsidRPr="00900F71" w:rsidRDefault="00900F71" w:rsidP="00900F71">
      <w:pPr>
        <w:pStyle w:val="af4"/>
        <w:numPr>
          <w:ilvl w:val="0"/>
          <w:numId w:val="21"/>
        </w:numPr>
        <w:pBdr>
          <w:top w:val="nil"/>
          <w:left w:val="nil"/>
          <w:bottom w:val="nil"/>
          <w:right w:val="nil"/>
          <w:between w:val="nil"/>
        </w:pBdr>
        <w:ind w:leftChars="0" w:left="1560"/>
        <w:rPr>
          <w:rFonts w:ascii="標楷體" w:eastAsia="標楷體" w:hAnsi="標楷體"/>
          <w:sz w:val="24"/>
          <w:szCs w:val="24"/>
        </w:rPr>
      </w:pPr>
      <w:r w:rsidRPr="00900F71">
        <w:rPr>
          <w:rFonts w:ascii="標楷體" w:eastAsia="標楷體" w:hAnsi="標楷體" w:cs="Arial Unicode MS"/>
          <w:sz w:val="24"/>
          <w:szCs w:val="24"/>
        </w:rPr>
        <w:t>現金利率：現金部分不計利息，風險報酬計算之無風險利率設為 0%。</w:t>
      </w:r>
    </w:p>
    <w:p w:rsidR="00912331" w:rsidRPr="00900F71" w:rsidRDefault="00900F71" w:rsidP="00900F71">
      <w:pPr>
        <w:pStyle w:val="af4"/>
        <w:numPr>
          <w:ilvl w:val="0"/>
          <w:numId w:val="21"/>
        </w:numPr>
        <w:pBdr>
          <w:top w:val="nil"/>
          <w:left w:val="nil"/>
          <w:bottom w:val="nil"/>
          <w:right w:val="nil"/>
          <w:between w:val="nil"/>
        </w:pBdr>
        <w:spacing w:after="240"/>
        <w:ind w:leftChars="0" w:left="1560"/>
        <w:rPr>
          <w:rFonts w:ascii="標楷體" w:eastAsia="標楷體" w:hAnsi="標楷體"/>
          <w:sz w:val="24"/>
          <w:szCs w:val="24"/>
        </w:rPr>
      </w:pPr>
      <w:r w:rsidRPr="00900F71">
        <w:rPr>
          <w:rFonts w:ascii="標楷體" w:eastAsia="標楷體" w:hAnsi="標楷體" w:cs="Arial Unicode MS"/>
          <w:sz w:val="24"/>
          <w:szCs w:val="24"/>
        </w:rPr>
        <w:t>執行時點：採用同日收盤價執行交易訊號（Simplified same-day close），此  假設相對樂觀，需在解讀時納入考量。</w:t>
      </w:r>
    </w:p>
    <w:p w:rsidR="00912331" w:rsidRPr="00900F71" w:rsidRDefault="00912331">
      <w:pPr>
        <w:pBdr>
          <w:top w:val="nil"/>
          <w:left w:val="nil"/>
          <w:bottom w:val="nil"/>
          <w:right w:val="nil"/>
          <w:between w:val="nil"/>
        </w:pBdr>
        <w:spacing w:before="240" w:after="240"/>
        <w:rPr>
          <w:rFonts w:ascii="標楷體" w:eastAsia="標楷體" w:hAnsi="標楷體"/>
          <w:b/>
          <w:bCs/>
          <w:sz w:val="24"/>
          <w:szCs w:val="24"/>
        </w:rPr>
      </w:pP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單一股票回測策略方法 (Problem 1)</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此專題的「問題</w:t>
      </w:r>
      <w:proofErr w:type="gramStart"/>
      <w:r w:rsidRPr="00900F71">
        <w:rPr>
          <w:rFonts w:ascii="標楷體" w:eastAsia="標楷體" w:hAnsi="標楷體" w:cs="Arial Unicode MS"/>
          <w:sz w:val="24"/>
          <w:szCs w:val="24"/>
        </w:rPr>
        <w:t>一</w:t>
      </w:r>
      <w:proofErr w:type="gramEnd"/>
      <w:r w:rsidRPr="00900F71">
        <w:rPr>
          <w:rFonts w:ascii="標楷體" w:eastAsia="標楷體" w:hAnsi="標楷體" w:cs="Arial Unicode MS"/>
          <w:sz w:val="24"/>
          <w:szCs w:val="24"/>
        </w:rPr>
        <w:t xml:space="preserve"> (Problem 1)」目的在評估不同基礎投資規則在單一股票上的長期表現。測試標的包含五檔核心股票 (MCD, KO, AAPL,MSFT, ORCL)，每檔股票與每種策略的初始資本皆設定為 10,000 美元 (USD10,000)。所有訊號生成與績效計算皆基於個股自身的「調整後收盤價」(Adjusted Close)。</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本研究所採用的五種投資策略其具體邏輯與執行規則詳述如下：</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3.1 買入持有策略 (Buy-and-Hold)</w:t>
      </w:r>
    </w:p>
    <w:p w:rsidR="00912331" w:rsidRPr="00900F71" w:rsidRDefault="00900F71" w:rsidP="00900F71">
      <w:pPr>
        <w:pBdr>
          <w:top w:val="nil"/>
          <w:left w:val="nil"/>
          <w:bottom w:val="nil"/>
          <w:right w:val="nil"/>
          <w:between w:val="nil"/>
        </w:pBdr>
        <w:spacing w:before="240" w:after="240"/>
        <w:ind w:left="851"/>
        <w:rPr>
          <w:rFonts w:ascii="標楷體" w:eastAsia="標楷體" w:hAnsi="標楷體"/>
          <w:sz w:val="24"/>
          <w:szCs w:val="24"/>
        </w:rPr>
      </w:pPr>
      <w:r w:rsidRPr="00900F71">
        <w:rPr>
          <w:rFonts w:ascii="標楷體" w:eastAsia="標楷體" w:hAnsi="標楷體" w:cs="Arial Unicode MS"/>
          <w:sz w:val="24"/>
          <w:szCs w:val="24"/>
        </w:rPr>
        <w:t>買入持有策略作為</w:t>
      </w:r>
      <w:proofErr w:type="gramStart"/>
      <w:r w:rsidRPr="00900F71">
        <w:rPr>
          <w:rFonts w:ascii="標楷體" w:eastAsia="標楷體" w:hAnsi="標楷體" w:cs="Arial Unicode MS"/>
          <w:sz w:val="24"/>
          <w:szCs w:val="24"/>
        </w:rPr>
        <w:t>最</w:t>
      </w:r>
      <w:proofErr w:type="gramEnd"/>
      <w:r w:rsidRPr="00900F71">
        <w:rPr>
          <w:rFonts w:ascii="標楷體" w:eastAsia="標楷體" w:hAnsi="標楷體" w:cs="Arial Unicode MS"/>
          <w:sz w:val="24"/>
          <w:szCs w:val="24"/>
        </w:rPr>
        <w:t>基礎的被動投資基準，其核心邏輯在於完全曝露於標的資產的長期成長潛力，不進行任何擇時交易。</w:t>
      </w:r>
    </w:p>
    <w:p w:rsidR="00912331" w:rsidRPr="00900F71" w:rsidRDefault="00900F71" w:rsidP="00900F71">
      <w:pPr>
        <w:pStyle w:val="af4"/>
        <w:numPr>
          <w:ilvl w:val="0"/>
          <w:numId w:val="22"/>
        </w:numPr>
        <w:pBdr>
          <w:top w:val="nil"/>
          <w:left w:val="nil"/>
          <w:bottom w:val="nil"/>
          <w:right w:val="nil"/>
          <w:between w:val="nil"/>
        </w:pBdr>
        <w:spacing w:before="240"/>
        <w:ind w:leftChars="0"/>
        <w:rPr>
          <w:rFonts w:ascii="標楷體" w:eastAsia="標楷體" w:hAnsi="標楷體"/>
          <w:sz w:val="24"/>
          <w:szCs w:val="24"/>
        </w:rPr>
      </w:pPr>
      <w:r w:rsidRPr="00900F71">
        <w:rPr>
          <w:rFonts w:ascii="標楷體" w:eastAsia="標楷體" w:hAnsi="標楷體" w:cs="Arial Unicode MS"/>
          <w:sz w:val="24"/>
          <w:szCs w:val="24"/>
        </w:rPr>
        <w:t>執行規則：在回測期間的第一個交易日，將初始資本 10,000 美元一次性全額買入該檔股票。</w:t>
      </w:r>
    </w:p>
    <w:p w:rsidR="00912331" w:rsidRPr="00900F71" w:rsidRDefault="00900F71" w:rsidP="00900F71">
      <w:pPr>
        <w:pStyle w:val="af4"/>
        <w:numPr>
          <w:ilvl w:val="0"/>
          <w:numId w:val="22"/>
        </w:numPr>
        <w:pBdr>
          <w:top w:val="nil"/>
          <w:left w:val="nil"/>
          <w:bottom w:val="nil"/>
          <w:right w:val="nil"/>
          <w:between w:val="nil"/>
        </w:pBdr>
        <w:spacing w:after="240"/>
        <w:ind w:leftChars="0"/>
        <w:rPr>
          <w:rFonts w:ascii="標楷體" w:eastAsia="標楷體" w:hAnsi="標楷體"/>
          <w:sz w:val="24"/>
          <w:szCs w:val="24"/>
        </w:rPr>
      </w:pPr>
      <w:r w:rsidRPr="00900F71">
        <w:rPr>
          <w:rFonts w:ascii="標楷體" w:eastAsia="標楷體" w:hAnsi="標楷體" w:cs="Arial Unicode MS"/>
          <w:sz w:val="24"/>
          <w:szCs w:val="24"/>
        </w:rPr>
        <w:t>持有期間：持續</w:t>
      </w:r>
      <w:proofErr w:type="gramStart"/>
      <w:r w:rsidRPr="00900F71">
        <w:rPr>
          <w:rFonts w:ascii="標楷體" w:eastAsia="標楷體" w:hAnsi="標楷體" w:cs="Arial Unicode MS"/>
          <w:sz w:val="24"/>
          <w:szCs w:val="24"/>
        </w:rPr>
        <w:t>持有至回測</w:t>
      </w:r>
      <w:proofErr w:type="gramEnd"/>
      <w:r w:rsidRPr="00900F71">
        <w:rPr>
          <w:rFonts w:ascii="標楷體" w:eastAsia="標楷體" w:hAnsi="標楷體" w:cs="Arial Unicode MS"/>
          <w:sz w:val="24"/>
          <w:szCs w:val="24"/>
        </w:rPr>
        <w:t>期末，期間不進行任何資產再平衡 (Rebalancing)、不執行停</w:t>
      </w:r>
      <w:proofErr w:type="gramStart"/>
      <w:r w:rsidRPr="00900F71">
        <w:rPr>
          <w:rFonts w:ascii="標楷體" w:eastAsia="標楷體" w:hAnsi="標楷體" w:cs="Arial Unicode MS"/>
          <w:sz w:val="24"/>
          <w:szCs w:val="24"/>
        </w:rPr>
        <w:t>損停利</w:t>
      </w:r>
      <w:proofErr w:type="gramEnd"/>
      <w:r w:rsidRPr="00900F71">
        <w:rPr>
          <w:rFonts w:ascii="標楷體" w:eastAsia="標楷體" w:hAnsi="標楷體" w:cs="Arial Unicode MS"/>
          <w:sz w:val="24"/>
          <w:szCs w:val="24"/>
        </w:rPr>
        <w:t>，亦無任何加碼或減碼操作。</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3.2 定期定額策略 (Fair Dollar-Cost Averaging, DCA)</w:t>
      </w:r>
    </w:p>
    <w:p w:rsidR="00912331" w:rsidRPr="00900F71" w:rsidRDefault="00900F71" w:rsidP="00900F71">
      <w:pPr>
        <w:pBdr>
          <w:top w:val="nil"/>
          <w:left w:val="nil"/>
          <w:bottom w:val="nil"/>
          <w:right w:val="nil"/>
          <w:between w:val="nil"/>
        </w:pBdr>
        <w:spacing w:before="240" w:after="240"/>
        <w:ind w:leftChars="386" w:left="849"/>
        <w:rPr>
          <w:rFonts w:ascii="標楷體" w:eastAsia="標楷體" w:hAnsi="標楷體"/>
          <w:sz w:val="24"/>
          <w:szCs w:val="24"/>
        </w:rPr>
      </w:pPr>
      <w:r w:rsidRPr="00900F71">
        <w:rPr>
          <w:rFonts w:ascii="標楷體" w:eastAsia="標楷體" w:hAnsi="標楷體" w:cs="Arial Unicode MS"/>
          <w:sz w:val="24"/>
          <w:szCs w:val="24"/>
        </w:rPr>
        <w:t>為模擬一般投資人的現金流狀況與平滑進場成本，本研究設計了「公平」的定期定額策略 (Fair DCA)。</w:t>
      </w:r>
    </w:p>
    <w:p w:rsidR="00912331" w:rsidRPr="00900F71" w:rsidRDefault="00900F71" w:rsidP="00900F71">
      <w:pPr>
        <w:pStyle w:val="af4"/>
        <w:numPr>
          <w:ilvl w:val="0"/>
          <w:numId w:val="23"/>
        </w:numPr>
        <w:pBdr>
          <w:top w:val="nil"/>
          <w:left w:val="nil"/>
          <w:bottom w:val="nil"/>
          <w:right w:val="nil"/>
          <w:between w:val="nil"/>
        </w:pBdr>
        <w:spacing w:before="240"/>
        <w:ind w:leftChars="0"/>
        <w:rPr>
          <w:rFonts w:ascii="標楷體" w:eastAsia="標楷體" w:hAnsi="標楷體"/>
          <w:sz w:val="24"/>
          <w:szCs w:val="24"/>
        </w:rPr>
      </w:pPr>
      <w:r w:rsidRPr="00900F71">
        <w:rPr>
          <w:rFonts w:ascii="標楷體" w:eastAsia="標楷體" w:hAnsi="標楷體" w:cs="Arial Unicode MS"/>
          <w:sz w:val="24"/>
          <w:szCs w:val="24"/>
        </w:rPr>
        <w:t>資金規劃：總投入資本與買入持有策略相同，固定為 10,000 美元。</w:t>
      </w:r>
    </w:p>
    <w:p w:rsidR="00912331" w:rsidRPr="00900F71" w:rsidRDefault="00900F71" w:rsidP="00900F71">
      <w:pPr>
        <w:pStyle w:val="af4"/>
        <w:numPr>
          <w:ilvl w:val="0"/>
          <w:numId w:val="23"/>
        </w:numPr>
        <w:pBdr>
          <w:top w:val="nil"/>
          <w:left w:val="nil"/>
          <w:bottom w:val="nil"/>
          <w:right w:val="nil"/>
          <w:between w:val="nil"/>
        </w:pBdr>
        <w:ind w:leftChars="0"/>
        <w:rPr>
          <w:rFonts w:ascii="標楷體" w:eastAsia="標楷體" w:hAnsi="標楷體"/>
          <w:sz w:val="24"/>
          <w:szCs w:val="24"/>
        </w:rPr>
      </w:pPr>
      <w:r w:rsidRPr="00900F71">
        <w:rPr>
          <w:rFonts w:ascii="標楷體" w:eastAsia="標楷體" w:hAnsi="標楷體" w:cs="Arial Unicode MS"/>
          <w:sz w:val="24"/>
          <w:szCs w:val="24"/>
        </w:rPr>
        <w:t xml:space="preserve">執行規則：將總資本均分為 365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日曆月（約 30.4 年的回測期），每月固定投入約 27.40 美元 (USD 27.39726)買入該檔股票。未投入之剩餘現金保留在帳戶中，本研究假設未投資的現金不產生利息收益。</w:t>
      </w:r>
    </w:p>
    <w:p w:rsidR="00912331" w:rsidRPr="00900F71" w:rsidRDefault="00900F71" w:rsidP="00900F71">
      <w:pPr>
        <w:pStyle w:val="af4"/>
        <w:numPr>
          <w:ilvl w:val="0"/>
          <w:numId w:val="23"/>
        </w:numPr>
        <w:pBdr>
          <w:top w:val="nil"/>
          <w:left w:val="nil"/>
          <w:bottom w:val="nil"/>
          <w:right w:val="nil"/>
          <w:between w:val="nil"/>
        </w:pBdr>
        <w:spacing w:after="240"/>
        <w:ind w:leftChars="0"/>
        <w:rPr>
          <w:rFonts w:ascii="標楷體" w:eastAsia="標楷體" w:hAnsi="標楷體"/>
          <w:sz w:val="24"/>
          <w:szCs w:val="24"/>
        </w:rPr>
      </w:pPr>
      <w:r w:rsidRPr="00900F71">
        <w:rPr>
          <w:rFonts w:ascii="標楷體" w:eastAsia="標楷體" w:hAnsi="標楷體" w:cs="Arial Unicode MS"/>
          <w:sz w:val="24"/>
          <w:szCs w:val="24"/>
        </w:rPr>
        <w:t>策略特性：與單筆投入的 Buy-and-Hold 相比，Fair DCA策略透過分散進場時點，有效降低了單次進場的價格風險（如買在歷史高點），但代價是延遲了整體資本的</w:t>
      </w:r>
      <w:proofErr w:type="gramStart"/>
      <w:r w:rsidRPr="00900F71">
        <w:rPr>
          <w:rFonts w:ascii="標楷體" w:eastAsia="標楷體" w:hAnsi="標楷體" w:cs="Arial Unicode MS"/>
          <w:sz w:val="24"/>
          <w:szCs w:val="24"/>
        </w:rPr>
        <w:t>市場曝險時間</w:t>
      </w:r>
      <w:proofErr w:type="gramEnd"/>
      <w:r w:rsidRPr="00900F71">
        <w:rPr>
          <w:rFonts w:ascii="標楷體" w:eastAsia="標楷體" w:hAnsi="標楷體" w:cs="Arial Unicode MS"/>
          <w:sz w:val="24"/>
          <w:szCs w:val="24"/>
        </w:rPr>
        <w:t>，這在面對長期處於上升趨勢的個股時，可能會導致累積總報酬相對落後。</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3.3 簡單移動平均線交叉策略 (SMA Crossover)</w:t>
      </w:r>
    </w:p>
    <w:p w:rsidR="00912331" w:rsidRPr="00900F71" w:rsidRDefault="00900F71" w:rsidP="00900F71">
      <w:pPr>
        <w:pBdr>
          <w:top w:val="nil"/>
          <w:left w:val="nil"/>
          <w:bottom w:val="nil"/>
          <w:right w:val="nil"/>
          <w:between w:val="nil"/>
        </w:pBdr>
        <w:spacing w:before="240" w:after="240"/>
        <w:ind w:leftChars="386" w:left="849"/>
        <w:rPr>
          <w:rFonts w:ascii="標楷體" w:eastAsia="標楷體" w:hAnsi="標楷體"/>
          <w:sz w:val="24"/>
          <w:szCs w:val="24"/>
        </w:rPr>
      </w:pPr>
      <w:r w:rsidRPr="00900F71">
        <w:rPr>
          <w:rFonts w:ascii="標楷體" w:eastAsia="標楷體" w:hAnsi="標楷體" w:cs="Arial Unicode MS"/>
          <w:sz w:val="24"/>
          <w:szCs w:val="24"/>
        </w:rPr>
        <w:t>本研究引入三組不同時間週期的簡單移動平均線 (Simple Moving Average, SMA) 交叉策略，以測試順勢交易 (Trend-following)在個股上的有效性。所有 SMA 訊號均獨立計算，僅使用標的股票自身的調整後收盤價。</w:t>
      </w:r>
    </w:p>
    <w:p w:rsidR="00912331" w:rsidRPr="00900F71" w:rsidRDefault="00900F71" w:rsidP="00900F71">
      <w:pPr>
        <w:pStyle w:val="af4"/>
        <w:numPr>
          <w:ilvl w:val="0"/>
          <w:numId w:val="24"/>
        </w:numPr>
        <w:pBdr>
          <w:top w:val="nil"/>
          <w:left w:val="nil"/>
          <w:bottom w:val="nil"/>
          <w:right w:val="nil"/>
          <w:between w:val="nil"/>
        </w:pBdr>
        <w:spacing w:before="240" w:after="240"/>
        <w:ind w:leftChars="0"/>
        <w:rPr>
          <w:rFonts w:ascii="標楷體" w:eastAsia="標楷體" w:hAnsi="標楷體"/>
          <w:sz w:val="24"/>
          <w:szCs w:val="24"/>
        </w:rPr>
      </w:pPr>
      <w:r w:rsidRPr="00900F71">
        <w:rPr>
          <w:rFonts w:ascii="標楷體" w:eastAsia="標楷體" w:hAnsi="標楷體" w:cs="Arial Unicode MS"/>
          <w:sz w:val="24"/>
          <w:szCs w:val="24"/>
        </w:rPr>
        <w:t>交易邏輯:</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1.買入訊號：當短期 SMA 大於長期 SMA (Short SMA &gt; Long SMA) 時，代   表趨勢向上，系統將全數資本投入持有該股票。</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 xml:space="preserve">2.賣出/空手訊號：當短期 SMA 小於或等於長期 SMA (Short SMA </w:t>
      </w:r>
      <w:r w:rsidRPr="00900F71">
        <w:rPr>
          <w:rFonts w:ascii="Times New Roman" w:eastAsia="標楷體" w:hAnsi="Times New Roman" w:cs="Times New Roman"/>
          <w:sz w:val="24"/>
          <w:szCs w:val="24"/>
        </w:rPr>
        <w:t>≤</w:t>
      </w:r>
      <w:r w:rsidRPr="00900F71">
        <w:rPr>
          <w:rFonts w:ascii="標楷體" w:eastAsia="標楷體" w:hAnsi="標楷體" w:cs="Arial Unicode MS"/>
          <w:sz w:val="24"/>
          <w:szCs w:val="24"/>
        </w:rPr>
        <w:t xml:space="preserve"> Long SMA)時，代表趨勢轉弱或向下，系統將賣出持股並持有現金。</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3.交易限制：本研究設定為純做多策略 (Long-only)，不涉及放空操作 (No short-selling)，亦不使用任何槓桿 (</w:t>
      </w:r>
      <w:proofErr w:type="spellStart"/>
      <w:r w:rsidRPr="00900F71">
        <w:rPr>
          <w:rFonts w:ascii="標楷體" w:eastAsia="標楷體" w:hAnsi="標楷體" w:cs="Arial Unicode MS"/>
          <w:sz w:val="24"/>
          <w:szCs w:val="24"/>
        </w:rPr>
        <w:t>Noleverage</w:t>
      </w:r>
      <w:proofErr w:type="spellEnd"/>
      <w:r w:rsidRPr="00900F71">
        <w:rPr>
          <w:rFonts w:ascii="標楷體" w:eastAsia="標楷體" w:hAnsi="標楷體" w:cs="Arial Unicode MS"/>
          <w:sz w:val="24"/>
          <w:szCs w:val="24"/>
        </w:rPr>
        <w:t>)。</w:t>
      </w:r>
    </w:p>
    <w:p w:rsidR="00912331" w:rsidRPr="00900F71" w:rsidRDefault="00900F71" w:rsidP="00900F71">
      <w:pPr>
        <w:pStyle w:val="af4"/>
        <w:numPr>
          <w:ilvl w:val="0"/>
          <w:numId w:val="24"/>
        </w:numPr>
        <w:pBdr>
          <w:top w:val="nil"/>
          <w:left w:val="nil"/>
          <w:bottom w:val="nil"/>
          <w:right w:val="nil"/>
          <w:between w:val="nil"/>
        </w:pBdr>
        <w:spacing w:before="240" w:after="240"/>
        <w:ind w:leftChars="0" w:left="1843"/>
        <w:rPr>
          <w:rFonts w:ascii="標楷體" w:eastAsia="標楷體" w:hAnsi="標楷體"/>
          <w:sz w:val="24"/>
          <w:szCs w:val="24"/>
        </w:rPr>
      </w:pPr>
      <w:r w:rsidRPr="00900F71">
        <w:rPr>
          <w:rFonts w:ascii="標楷體" w:eastAsia="標楷體" w:hAnsi="標楷體" w:cs="Arial Unicode MS"/>
          <w:sz w:val="24"/>
          <w:szCs w:val="24"/>
        </w:rPr>
        <w:t>參數設定與策略特性：</w:t>
      </w:r>
    </w:p>
    <w:p w:rsidR="00912331" w:rsidRPr="00900F71" w:rsidRDefault="00900F71" w:rsidP="00900F71">
      <w:pPr>
        <w:pBdr>
          <w:top w:val="nil"/>
          <w:left w:val="nil"/>
          <w:bottom w:val="nil"/>
          <w:right w:val="nil"/>
          <w:between w:val="nil"/>
        </w:pBdr>
        <w:spacing w:before="240" w:after="240"/>
        <w:ind w:left="1701"/>
        <w:rPr>
          <w:rFonts w:ascii="標楷體" w:eastAsia="標楷體" w:hAnsi="標楷體"/>
          <w:sz w:val="24"/>
          <w:szCs w:val="24"/>
        </w:rPr>
      </w:pPr>
      <w:r w:rsidRPr="00900F71">
        <w:rPr>
          <w:rFonts w:ascii="標楷體" w:eastAsia="標楷體" w:hAnsi="標楷體" w:cs="Arial Unicode MS"/>
          <w:sz w:val="24"/>
          <w:szCs w:val="24"/>
        </w:rPr>
        <w:t>為了評估不同時間週期的影響，本研究預先定義了三組 SMA 參數進行測試（未對測試資料進行最佳化，以避免過度擬合）：</w:t>
      </w:r>
    </w:p>
    <w:p w:rsidR="00912331" w:rsidRPr="00900F71" w:rsidRDefault="00900F71" w:rsidP="00900F71">
      <w:pPr>
        <w:pBdr>
          <w:top w:val="nil"/>
          <w:left w:val="nil"/>
          <w:bottom w:val="nil"/>
          <w:right w:val="nil"/>
          <w:between w:val="nil"/>
        </w:pBdr>
        <w:spacing w:before="240" w:after="240"/>
        <w:ind w:left="1701"/>
        <w:rPr>
          <w:rFonts w:ascii="標楷體" w:eastAsia="標楷體" w:hAnsi="標楷體"/>
          <w:sz w:val="24"/>
          <w:szCs w:val="24"/>
        </w:rPr>
      </w:pPr>
      <w:r w:rsidRPr="00900F71">
        <w:rPr>
          <w:rFonts w:ascii="標楷體" w:eastAsia="標楷體" w:hAnsi="標楷體" w:cs="Arial Unicode MS"/>
          <w:sz w:val="24"/>
          <w:szCs w:val="24"/>
        </w:rPr>
        <w:t xml:space="preserve"> 1. SMA 20/60（短期）：採用 20 </w:t>
      </w:r>
      <w:proofErr w:type="gramStart"/>
      <w:r w:rsidRPr="00900F71">
        <w:rPr>
          <w:rFonts w:ascii="標楷體" w:eastAsia="標楷體" w:hAnsi="標楷體" w:cs="Arial Unicode MS"/>
          <w:sz w:val="24"/>
          <w:szCs w:val="24"/>
        </w:rPr>
        <w:t>日均線與</w:t>
      </w:r>
      <w:proofErr w:type="gramEnd"/>
      <w:r w:rsidRPr="00900F71">
        <w:rPr>
          <w:rFonts w:ascii="標楷體" w:eastAsia="標楷體" w:hAnsi="標楷體" w:cs="Arial Unicode MS"/>
          <w:sz w:val="24"/>
          <w:szCs w:val="24"/>
        </w:rPr>
        <w:t xml:space="preserve"> </w:t>
      </w:r>
      <w:proofErr w:type="gramStart"/>
      <w:r w:rsidRPr="00900F71">
        <w:rPr>
          <w:rFonts w:ascii="標楷體" w:eastAsia="標楷體" w:hAnsi="標楷體" w:cs="Arial Unicode MS"/>
          <w:sz w:val="24"/>
          <w:szCs w:val="24"/>
        </w:rPr>
        <w:t>60日均線</w:t>
      </w:r>
      <w:proofErr w:type="gramEnd"/>
      <w:r w:rsidRPr="00900F71">
        <w:rPr>
          <w:rFonts w:ascii="標楷體" w:eastAsia="標楷體" w:hAnsi="標楷體" w:cs="Arial Unicode MS"/>
          <w:sz w:val="24"/>
          <w:szCs w:val="24"/>
        </w:rPr>
        <w:t>（約相當於月線與季線）。此參數組合反應速度最快，能迅速捕捉短期趨勢變化；但缺點是交易頻率極高，在盤整盤勢中容易產生頻繁的假訊號 (Whipsaw)，若在實務中加入交易成本，其績效將受到顯著影響。</w:t>
      </w:r>
    </w:p>
    <w:p w:rsidR="00912331" w:rsidRPr="00900F71" w:rsidRDefault="00900F71" w:rsidP="00900F71">
      <w:pPr>
        <w:pBdr>
          <w:top w:val="nil"/>
          <w:left w:val="nil"/>
          <w:bottom w:val="nil"/>
          <w:right w:val="nil"/>
          <w:between w:val="nil"/>
        </w:pBdr>
        <w:spacing w:before="240" w:after="240"/>
        <w:ind w:left="1701"/>
        <w:rPr>
          <w:rFonts w:ascii="標楷體" w:eastAsia="標楷體" w:hAnsi="標楷體"/>
          <w:sz w:val="24"/>
          <w:szCs w:val="24"/>
        </w:rPr>
      </w:pPr>
      <w:r w:rsidRPr="00900F71">
        <w:rPr>
          <w:rFonts w:ascii="標楷體" w:eastAsia="標楷體" w:hAnsi="標楷體" w:cs="Arial Unicode MS"/>
          <w:sz w:val="24"/>
          <w:szCs w:val="24"/>
        </w:rPr>
        <w:t xml:space="preserve">2. SMA 50/200（中長期）：採用 50 </w:t>
      </w:r>
      <w:proofErr w:type="gramStart"/>
      <w:r w:rsidRPr="00900F71">
        <w:rPr>
          <w:rFonts w:ascii="標楷體" w:eastAsia="標楷體" w:hAnsi="標楷體" w:cs="Arial Unicode MS"/>
          <w:sz w:val="24"/>
          <w:szCs w:val="24"/>
        </w:rPr>
        <w:t>日均線與</w:t>
      </w:r>
      <w:proofErr w:type="gramEnd"/>
      <w:r w:rsidRPr="00900F71">
        <w:rPr>
          <w:rFonts w:ascii="標楷體" w:eastAsia="標楷體" w:hAnsi="標楷體" w:cs="Arial Unicode MS"/>
          <w:sz w:val="24"/>
          <w:szCs w:val="24"/>
        </w:rPr>
        <w:t xml:space="preserve"> 200 </w:t>
      </w:r>
      <w:proofErr w:type="gramStart"/>
      <w:r w:rsidRPr="00900F71">
        <w:rPr>
          <w:rFonts w:ascii="標楷體" w:eastAsia="標楷體" w:hAnsi="標楷體" w:cs="Arial Unicode MS"/>
          <w:sz w:val="24"/>
          <w:szCs w:val="24"/>
        </w:rPr>
        <w:t>日均線</w:t>
      </w:r>
      <w:proofErr w:type="gramEnd"/>
      <w:r w:rsidRPr="00900F71">
        <w:rPr>
          <w:rFonts w:ascii="標楷體" w:eastAsia="標楷體" w:hAnsi="標楷體" w:cs="Arial Unicode MS"/>
          <w:sz w:val="24"/>
          <w:szCs w:val="24"/>
        </w:rPr>
        <w:t>。此為業界</w:t>
      </w:r>
      <w:proofErr w:type="gramStart"/>
      <w:r w:rsidRPr="00900F71">
        <w:rPr>
          <w:rFonts w:ascii="標楷體" w:eastAsia="標楷體" w:hAnsi="標楷體" w:cs="Arial Unicode MS"/>
          <w:sz w:val="24"/>
          <w:szCs w:val="24"/>
        </w:rPr>
        <w:t>最</w:t>
      </w:r>
      <w:proofErr w:type="gramEnd"/>
      <w:r w:rsidRPr="00900F71">
        <w:rPr>
          <w:rFonts w:ascii="標楷體" w:eastAsia="標楷體" w:hAnsi="標楷體" w:cs="Arial Unicode MS"/>
          <w:sz w:val="24"/>
          <w:szCs w:val="24"/>
        </w:rPr>
        <w:t>經典的交叉策略（常被稱為「黃金交叉」與「死亡交叉」），屬於折衷型的趨勢策略，兼顧了反應速度與雜訊過濾。</w:t>
      </w:r>
    </w:p>
    <w:p w:rsidR="00912331" w:rsidRPr="00900F71" w:rsidRDefault="00900F71" w:rsidP="00900F71">
      <w:pPr>
        <w:pBdr>
          <w:top w:val="nil"/>
          <w:left w:val="nil"/>
          <w:bottom w:val="nil"/>
          <w:right w:val="nil"/>
          <w:between w:val="nil"/>
        </w:pBdr>
        <w:spacing w:before="240" w:after="240"/>
        <w:ind w:left="1701"/>
        <w:rPr>
          <w:rFonts w:ascii="標楷體" w:eastAsia="標楷體" w:hAnsi="標楷體"/>
          <w:b/>
          <w:bCs/>
          <w:sz w:val="28"/>
          <w:szCs w:val="28"/>
        </w:rPr>
      </w:pPr>
      <w:r w:rsidRPr="00900F71">
        <w:rPr>
          <w:rFonts w:ascii="標楷體" w:eastAsia="標楷體" w:hAnsi="標楷體" w:cs="Arial Unicode MS"/>
          <w:sz w:val="24"/>
          <w:szCs w:val="24"/>
        </w:rPr>
        <w:t xml:space="preserve">3. SMA 100/300（長期）：採用 100 </w:t>
      </w:r>
      <w:proofErr w:type="gramStart"/>
      <w:r w:rsidRPr="00900F71">
        <w:rPr>
          <w:rFonts w:ascii="標楷體" w:eastAsia="標楷體" w:hAnsi="標楷體" w:cs="Arial Unicode MS"/>
          <w:sz w:val="24"/>
          <w:szCs w:val="24"/>
        </w:rPr>
        <w:t>日均線與</w:t>
      </w:r>
      <w:proofErr w:type="gramEnd"/>
      <w:r w:rsidRPr="00900F71">
        <w:rPr>
          <w:rFonts w:ascii="標楷體" w:eastAsia="標楷體" w:hAnsi="標楷體" w:cs="Arial Unicode MS"/>
          <w:sz w:val="24"/>
          <w:szCs w:val="24"/>
        </w:rPr>
        <w:t xml:space="preserve"> </w:t>
      </w:r>
      <w:proofErr w:type="gramStart"/>
      <w:r w:rsidRPr="00900F71">
        <w:rPr>
          <w:rFonts w:ascii="標楷體" w:eastAsia="標楷體" w:hAnsi="標楷體" w:cs="Arial Unicode MS"/>
          <w:sz w:val="24"/>
          <w:szCs w:val="24"/>
        </w:rPr>
        <w:t>300日均線</w:t>
      </w:r>
      <w:proofErr w:type="gramEnd"/>
      <w:r w:rsidRPr="00900F71">
        <w:rPr>
          <w:rFonts w:ascii="標楷體" w:eastAsia="標楷體" w:hAnsi="標楷體" w:cs="Arial Unicode MS"/>
          <w:sz w:val="24"/>
          <w:szCs w:val="24"/>
        </w:rPr>
        <w:t>。此組合交易次數最少，策略邏輯偏向保留長期大趨勢；由於發出訊號的時機較晚，雖能有效避開短期市場雜訊，但亦可能錯失快速反轉的行情。</w:t>
      </w:r>
    </w:p>
    <w:p w:rsidR="00912331" w:rsidRPr="00900F71" w:rsidRDefault="00912331">
      <w:pPr>
        <w:ind w:left="1440"/>
        <w:rPr>
          <w:rFonts w:ascii="標楷體" w:eastAsia="標楷體" w:hAnsi="標楷體"/>
          <w:sz w:val="24"/>
          <w:szCs w:val="24"/>
        </w:rPr>
      </w:pP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單一股票策略整體績效分析 (Problem 1)</w:t>
      </w:r>
    </w:p>
    <w:p w:rsidR="00912331" w:rsidRPr="00900F71" w:rsidRDefault="00900F71">
      <w:pPr>
        <w:spacing w:after="200"/>
        <w:ind w:left="283" w:firstLine="566"/>
        <w:rPr>
          <w:rFonts w:ascii="標楷體" w:eastAsia="標楷體" w:hAnsi="標楷體"/>
          <w:sz w:val="24"/>
          <w:szCs w:val="24"/>
        </w:rPr>
      </w:pPr>
      <w:r w:rsidRPr="00900F71">
        <w:rPr>
          <w:rFonts w:ascii="標楷體" w:eastAsia="標楷體" w:hAnsi="標楷體" w:cs="Arial Unicode MS"/>
          <w:sz w:val="24"/>
          <w:szCs w:val="24"/>
        </w:rPr>
        <w:t>此績效基於 1996 年至 2026 年近 30年的全樣本歷史數據，針對五檔核心個股在五種不同策略下的表現進行綜合評估。所有策略的績效表現</w:t>
      </w:r>
      <w:proofErr w:type="gramStart"/>
      <w:r w:rsidRPr="00900F71">
        <w:rPr>
          <w:rFonts w:ascii="標楷體" w:eastAsia="標楷體" w:hAnsi="標楷體" w:cs="Arial Unicode MS"/>
          <w:sz w:val="24"/>
          <w:szCs w:val="24"/>
        </w:rPr>
        <w:t>均以同期標普</w:t>
      </w:r>
      <w:proofErr w:type="gramEnd"/>
      <w:r w:rsidRPr="00900F71">
        <w:rPr>
          <w:rFonts w:ascii="標楷體" w:eastAsia="標楷體" w:hAnsi="標楷體" w:cs="Arial Unicode MS"/>
          <w:sz w:val="24"/>
          <w:szCs w:val="24"/>
        </w:rPr>
        <w:t xml:space="preserve"> 500 指數 ETF(SPY) 作為機會成本的比較基準。</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4.1 市場基準 (SPY Benchmark) 績效</w:t>
      </w:r>
    </w:p>
    <w:p w:rsidR="00912331" w:rsidRPr="00900F71" w:rsidRDefault="00900F71" w:rsidP="00900F71">
      <w:pPr>
        <w:spacing w:after="200"/>
        <w:ind w:left="851" w:firstLine="425"/>
        <w:rPr>
          <w:rFonts w:ascii="標楷體" w:eastAsia="標楷體" w:hAnsi="標楷體" w:cs="Arial Unicode MS"/>
          <w:sz w:val="24"/>
          <w:szCs w:val="24"/>
        </w:rPr>
      </w:pPr>
      <w:r w:rsidRPr="00900F71">
        <w:rPr>
          <w:rFonts w:ascii="標楷體" w:eastAsia="標楷體" w:hAnsi="標楷體" w:cs="Arial Unicode MS"/>
          <w:sz w:val="24"/>
          <w:szCs w:val="24"/>
        </w:rPr>
        <w:t>在回測期間內，SPY 展現了強勁的長期增長。初始投入之 10,000 美元最終成長至 200,367.50 美元，累計報酬率達1,903.68%，換算年化報酬率 (Annualized Return) 為 10.38%，</w:t>
      </w:r>
      <w:proofErr w:type="gramStart"/>
      <w:r w:rsidRPr="00900F71">
        <w:rPr>
          <w:rFonts w:ascii="標楷體" w:eastAsia="標楷體" w:hAnsi="標楷體" w:cs="Arial Unicode MS"/>
          <w:sz w:val="24"/>
          <w:szCs w:val="24"/>
        </w:rPr>
        <w:t>最大回撤</w:t>
      </w:r>
      <w:proofErr w:type="gramEnd"/>
      <w:r w:rsidRPr="00900F71">
        <w:rPr>
          <w:rFonts w:ascii="標楷體" w:eastAsia="標楷體" w:hAnsi="標楷體" w:cs="Arial Unicode MS"/>
          <w:sz w:val="24"/>
          <w:szCs w:val="24"/>
        </w:rPr>
        <w:t xml:space="preserve"> (Max Drawdown) 為 -55.19%，</w:t>
      </w:r>
      <w:proofErr w:type="gramStart"/>
      <w:r w:rsidRPr="00900F71">
        <w:rPr>
          <w:rFonts w:ascii="標楷體" w:eastAsia="標楷體" w:hAnsi="標楷體" w:cs="Arial Unicode MS"/>
          <w:sz w:val="24"/>
          <w:szCs w:val="24"/>
        </w:rPr>
        <w:t>夏普值</w:t>
      </w:r>
      <w:proofErr w:type="gramEnd"/>
      <w:r w:rsidRPr="00900F71">
        <w:rPr>
          <w:rFonts w:ascii="標楷體" w:eastAsia="標楷體" w:hAnsi="標楷體" w:cs="Arial Unicode MS"/>
          <w:sz w:val="24"/>
          <w:szCs w:val="24"/>
        </w:rPr>
        <w:t xml:space="preserve"> (Sharpe Ratio) 為 0.54。</w:t>
      </w:r>
    </w:p>
    <w:p w:rsidR="00912331" w:rsidRPr="00900F71" w:rsidRDefault="00900F71" w:rsidP="00900F71">
      <w:pPr>
        <w:spacing w:after="200"/>
        <w:ind w:left="851" w:firstLine="425"/>
        <w:rPr>
          <w:rFonts w:ascii="標楷體" w:eastAsia="標楷體" w:hAnsi="標楷體"/>
          <w:sz w:val="24"/>
          <w:szCs w:val="24"/>
        </w:rPr>
      </w:pPr>
      <w:r w:rsidRPr="00900F71">
        <w:rPr>
          <w:rFonts w:ascii="標楷體" w:eastAsia="標楷體" w:hAnsi="標楷體" w:cs="Arial Unicode MS"/>
          <w:sz w:val="24"/>
          <w:szCs w:val="24"/>
        </w:rPr>
        <w:t>本研究將 SPY 的 10.38%年化報酬率視為「基準門檻」。若任</w:t>
      </w:r>
      <w:proofErr w:type="gramStart"/>
      <w:r w:rsidRPr="00900F71">
        <w:rPr>
          <w:rFonts w:ascii="標楷體" w:eastAsia="標楷體" w:hAnsi="標楷體" w:cs="Arial Unicode MS"/>
          <w:sz w:val="24"/>
          <w:szCs w:val="24"/>
        </w:rPr>
        <w:t>一</w:t>
      </w:r>
      <w:proofErr w:type="gramEnd"/>
      <w:r w:rsidRPr="00900F71">
        <w:rPr>
          <w:rFonts w:ascii="標楷體" w:eastAsia="標楷體" w:hAnsi="標楷體" w:cs="Arial Unicode MS"/>
          <w:sz w:val="24"/>
          <w:szCs w:val="24"/>
        </w:rPr>
        <w:t>主動投資策略的長期年化報酬率低於此數值，即使其絕對報酬為正，考量到所需付出的時間與管理成本，其相對投資吸引力亦顯著受限。</w:t>
      </w:r>
    </w:p>
    <w:p w:rsidR="00912331" w:rsidRPr="00900F71" w:rsidRDefault="00912331">
      <w:pPr>
        <w:jc w:val="center"/>
        <w:rPr>
          <w:rFonts w:ascii="標楷體" w:eastAsia="標楷體" w:hAnsi="標楷體"/>
        </w:rPr>
      </w:pPr>
    </w:p>
    <w:tbl>
      <w:tblPr>
        <w:tblStyle w:val="a5"/>
        <w:tblW w:w="32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845"/>
      </w:tblGrid>
      <w:tr w:rsidR="00912331" w:rsidRPr="00900F71" w:rsidTr="00900F71">
        <w:trPr>
          <w:cantSplit/>
          <w:trHeight w:val="752"/>
          <w:jc w:val="center"/>
        </w:trPr>
        <w:tc>
          <w:tcPr>
            <w:tcW w:w="1365" w:type="dxa"/>
            <w:shd w:val="clear" w:color="auto" w:fill="A4C2F4"/>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目標</w:t>
            </w:r>
          </w:p>
        </w:tc>
        <w:tc>
          <w:tcPr>
            <w:tcW w:w="184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SPY </w:t>
            </w:r>
          </w:p>
        </w:tc>
      </w:tr>
      <w:tr w:rsidR="00912331" w:rsidRPr="00900F71" w:rsidTr="00900F71">
        <w:trPr>
          <w:cantSplit/>
          <w:trHeight w:val="732"/>
          <w:jc w:val="center"/>
        </w:trPr>
        <w:tc>
          <w:tcPr>
            <w:tcW w:w="136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最終價格</w:t>
            </w:r>
          </w:p>
        </w:tc>
        <w:tc>
          <w:tcPr>
            <w:tcW w:w="1845"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USD 199,310.78 </w:t>
            </w:r>
          </w:p>
        </w:tc>
      </w:tr>
      <w:tr w:rsidR="00912331" w:rsidRPr="00900F71" w:rsidTr="00900F71">
        <w:trPr>
          <w:cantSplit/>
          <w:jc w:val="center"/>
        </w:trPr>
        <w:tc>
          <w:tcPr>
            <w:tcW w:w="136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累計報酬</w:t>
            </w:r>
          </w:p>
        </w:tc>
        <w:tc>
          <w:tcPr>
            <w:tcW w:w="1845"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1,893.11% </w:t>
            </w:r>
          </w:p>
        </w:tc>
      </w:tr>
      <w:tr w:rsidR="00912331" w:rsidRPr="00900F71" w:rsidTr="00900F71">
        <w:trPr>
          <w:cantSplit/>
          <w:jc w:val="center"/>
        </w:trPr>
        <w:tc>
          <w:tcPr>
            <w:tcW w:w="136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年化報酬</w:t>
            </w:r>
          </w:p>
        </w:tc>
        <w:tc>
          <w:tcPr>
            <w:tcW w:w="1845"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10.35% </w:t>
            </w:r>
          </w:p>
        </w:tc>
      </w:tr>
      <w:tr w:rsidR="00912331" w:rsidRPr="00900F71" w:rsidTr="00900F71">
        <w:trPr>
          <w:cantSplit/>
          <w:jc w:val="center"/>
        </w:trPr>
        <w:tc>
          <w:tcPr>
            <w:tcW w:w="136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proofErr w:type="gramStart"/>
            <w:r w:rsidRPr="00900F71">
              <w:rPr>
                <w:rFonts w:ascii="標楷體" w:eastAsia="標楷體" w:hAnsi="標楷體" w:cs="Arial Unicode MS"/>
              </w:rPr>
              <w:t>最大回撤</w:t>
            </w:r>
            <w:proofErr w:type="gramEnd"/>
          </w:p>
        </w:tc>
        <w:tc>
          <w:tcPr>
            <w:tcW w:w="1845"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-55.19% </w:t>
            </w:r>
          </w:p>
        </w:tc>
      </w:tr>
      <w:tr w:rsidR="00912331" w:rsidRPr="00900F71" w:rsidTr="00900F71">
        <w:trPr>
          <w:cantSplit/>
          <w:jc w:val="center"/>
        </w:trPr>
        <w:tc>
          <w:tcPr>
            <w:tcW w:w="136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波動性</w:t>
            </w:r>
          </w:p>
        </w:tc>
        <w:tc>
          <w:tcPr>
            <w:tcW w:w="1845"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19.24%</w:t>
            </w:r>
          </w:p>
        </w:tc>
      </w:tr>
      <w:tr w:rsidR="00912331" w:rsidRPr="00900F71" w:rsidTr="00900F71">
        <w:trPr>
          <w:cantSplit/>
          <w:jc w:val="center"/>
        </w:trPr>
        <w:tc>
          <w:tcPr>
            <w:tcW w:w="1365"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proofErr w:type="gramStart"/>
            <w:r w:rsidRPr="00900F71">
              <w:rPr>
                <w:rFonts w:ascii="標楷體" w:eastAsia="標楷體" w:hAnsi="標楷體" w:cs="Arial Unicode MS"/>
              </w:rPr>
              <w:t>夏普比</w:t>
            </w:r>
            <w:proofErr w:type="gramEnd"/>
          </w:p>
        </w:tc>
        <w:tc>
          <w:tcPr>
            <w:tcW w:w="1845"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0.54 </w:t>
            </w:r>
          </w:p>
        </w:tc>
      </w:tr>
    </w:tbl>
    <w:p w:rsidR="00912331" w:rsidRPr="00900F71" w:rsidRDefault="00912331">
      <w:pPr>
        <w:spacing w:after="200"/>
        <w:ind w:left="425" w:firstLine="425"/>
        <w:rPr>
          <w:rFonts w:ascii="標楷體" w:eastAsia="標楷體" w:hAnsi="標楷體"/>
          <w:sz w:val="24"/>
          <w:szCs w:val="24"/>
        </w:rPr>
      </w:pP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4.2 策略整體排名與觀察</w:t>
      </w:r>
    </w:p>
    <w:p w:rsidR="00912331" w:rsidRPr="00900F71" w:rsidRDefault="00900F71" w:rsidP="00900F71">
      <w:pPr>
        <w:pBdr>
          <w:top w:val="nil"/>
          <w:left w:val="nil"/>
          <w:bottom w:val="nil"/>
          <w:right w:val="nil"/>
          <w:between w:val="nil"/>
        </w:pBdr>
        <w:spacing w:after="200"/>
        <w:ind w:left="993" w:firstLine="425"/>
        <w:rPr>
          <w:rFonts w:ascii="標楷體" w:eastAsia="標楷體" w:hAnsi="標楷體"/>
          <w:sz w:val="24"/>
          <w:szCs w:val="24"/>
        </w:rPr>
      </w:pPr>
      <w:r w:rsidRPr="00900F71">
        <w:rPr>
          <w:rFonts w:ascii="標楷體" w:eastAsia="標楷體" w:hAnsi="標楷體" w:cs="Arial Unicode MS"/>
          <w:sz w:val="24"/>
          <w:szCs w:val="24"/>
        </w:rPr>
        <w:t xml:space="preserve">  綜觀所有「個股 × 策略」的 25 組測試組合，年化報酬率排名前 10 名的組合中，Apple (AAPL)佔據了前五名，顯示該標的在本研究期間內具備最強勢的長期上漲趨勢。</w:t>
      </w:r>
    </w:p>
    <w:p w:rsidR="00912331" w:rsidRPr="00900F71" w:rsidRDefault="00900F71" w:rsidP="00900F71">
      <w:pPr>
        <w:pBdr>
          <w:top w:val="nil"/>
          <w:left w:val="nil"/>
          <w:bottom w:val="nil"/>
          <w:right w:val="nil"/>
          <w:between w:val="nil"/>
        </w:pBdr>
        <w:spacing w:after="200"/>
        <w:ind w:left="993" w:firstLine="425"/>
        <w:rPr>
          <w:rFonts w:ascii="標楷體" w:eastAsia="標楷體" w:hAnsi="標楷體"/>
          <w:sz w:val="24"/>
          <w:szCs w:val="24"/>
        </w:rPr>
      </w:pPr>
      <w:r w:rsidRPr="00900F71">
        <w:rPr>
          <w:rFonts w:ascii="標楷體" w:eastAsia="標楷體" w:hAnsi="標楷體" w:cs="Arial Unicode MS"/>
          <w:sz w:val="24"/>
          <w:szCs w:val="24"/>
        </w:rPr>
        <w:t xml:space="preserve">  從策略角度分析，「買入持有策略」(Buy-and-Hold) 是表現最為穩定的投資規則，在前 10 名中佔據 4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席次（分別為 AAPL, MSFT, ORCL, MCD 的買入持有）。相對而言，</w:t>
      </w:r>
      <w:proofErr w:type="gramStart"/>
      <w:r w:rsidRPr="00900F71">
        <w:rPr>
          <w:rFonts w:ascii="標楷體" w:eastAsia="標楷體" w:hAnsi="標楷體" w:cs="Arial Unicode MS"/>
          <w:sz w:val="24"/>
          <w:szCs w:val="24"/>
        </w:rPr>
        <w:t>在均線交叉</w:t>
      </w:r>
      <w:proofErr w:type="gramEnd"/>
      <w:r w:rsidRPr="00900F71">
        <w:rPr>
          <w:rFonts w:ascii="標楷體" w:eastAsia="標楷體" w:hAnsi="標楷體" w:cs="Arial Unicode MS"/>
          <w:sz w:val="24"/>
          <w:szCs w:val="24"/>
        </w:rPr>
        <w:t xml:space="preserve"> (SMA) 策略中，僅有長週期的「SMA 100/300」與中長期的「SMA50/200」能在少數特定個股上擠入前 10 名，進一步</w:t>
      </w:r>
      <w:proofErr w:type="gramStart"/>
      <w:r w:rsidRPr="00900F71">
        <w:rPr>
          <w:rFonts w:ascii="標楷體" w:eastAsia="標楷體" w:hAnsi="標楷體" w:cs="Arial Unicode MS"/>
          <w:sz w:val="24"/>
          <w:szCs w:val="24"/>
        </w:rPr>
        <w:t>凸</w:t>
      </w:r>
      <w:proofErr w:type="gramEnd"/>
      <w:r w:rsidRPr="00900F71">
        <w:rPr>
          <w:rFonts w:ascii="標楷體" w:eastAsia="標楷體" w:hAnsi="標楷體" w:cs="Arial Unicode MS"/>
          <w:sz w:val="24"/>
          <w:szCs w:val="24"/>
        </w:rPr>
        <w:t>顯了在長期多頭市場中，頻繁進出市場往往難以擊敗被動持有。</w:t>
      </w:r>
    </w:p>
    <w:p w:rsidR="00912331" w:rsidRPr="00900F71" w:rsidRDefault="00900F71" w:rsidP="00900F71">
      <w:pPr>
        <w:spacing w:after="200"/>
        <w:ind w:left="851"/>
        <w:rPr>
          <w:rFonts w:ascii="標楷體" w:eastAsia="標楷體" w:hAnsi="標楷體"/>
          <w:b/>
          <w:bCs/>
          <w:sz w:val="24"/>
          <w:szCs w:val="24"/>
        </w:rPr>
      </w:pPr>
      <w:r w:rsidRPr="00900F71">
        <w:rPr>
          <w:rFonts w:ascii="標楷體" w:eastAsia="標楷體" w:hAnsi="標楷體" w:cs="Arial Unicode MS"/>
          <w:b/>
          <w:bCs/>
          <w:sz w:val="24"/>
          <w:szCs w:val="24"/>
        </w:rPr>
        <w:t xml:space="preserve">不同股票之 Buy-and-Hold 策略分析 </w:t>
      </w:r>
    </w:p>
    <w:tbl>
      <w:tblPr>
        <w:tblStyle w:val="a6"/>
        <w:tblW w:w="90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gridCol w:w="1500"/>
      </w:tblGrid>
      <w:tr w:rsidR="00912331" w:rsidRPr="00900F71" w:rsidTr="00900F71">
        <w:trPr>
          <w:trHeight w:val="360"/>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股票</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最後金額</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累計回報</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年化報酬率</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proofErr w:type="gramStart"/>
            <w:r w:rsidRPr="00900F71">
              <w:rPr>
                <w:rFonts w:ascii="標楷體" w:eastAsia="標楷體" w:hAnsi="標楷體" w:cs="Arial Unicode MS"/>
                <w:sz w:val="20"/>
                <w:szCs w:val="20"/>
              </w:rPr>
              <w:t>最大回撤</w:t>
            </w:r>
            <w:proofErr w:type="gramEnd"/>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Sharpe Ratio</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AAPL</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12,435,399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+124253.99%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+26.44%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-81.80%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0.63</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MSFT</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1,220,984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+12109.84%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+17.14%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-69.39%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0.56</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ORCL</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710,891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+7008.91%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+15.07%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-84.19%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0.36</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MCD</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239,145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+2291.45%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+11.02%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-73.63%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0.47</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KO</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94,624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+846.24%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+7.68%</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-54.96%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0.36</w:t>
            </w:r>
          </w:p>
        </w:tc>
      </w:tr>
    </w:tbl>
    <w:p w:rsidR="00912331" w:rsidRPr="00900F71" w:rsidRDefault="00912331">
      <w:pPr>
        <w:spacing w:after="200"/>
        <w:ind w:left="425"/>
        <w:rPr>
          <w:rFonts w:ascii="標楷體" w:eastAsia="標楷體" w:hAnsi="標楷體"/>
          <w:b/>
          <w:bCs/>
          <w:sz w:val="24"/>
          <w:szCs w:val="24"/>
        </w:rPr>
      </w:pPr>
    </w:p>
    <w:p w:rsidR="00912331" w:rsidRPr="00900F71" w:rsidRDefault="00900F71" w:rsidP="00900F71">
      <w:pPr>
        <w:spacing w:after="200"/>
        <w:ind w:left="851"/>
        <w:rPr>
          <w:rFonts w:ascii="標楷體" w:eastAsia="標楷體" w:hAnsi="標楷體"/>
          <w:b/>
          <w:bCs/>
          <w:sz w:val="24"/>
          <w:szCs w:val="24"/>
        </w:rPr>
      </w:pPr>
      <w:r w:rsidRPr="00900F71">
        <w:rPr>
          <w:rFonts w:ascii="標楷體" w:eastAsia="標楷體" w:hAnsi="標楷體" w:cs="Arial Unicode MS"/>
          <w:b/>
          <w:bCs/>
          <w:sz w:val="24"/>
          <w:szCs w:val="24"/>
        </w:rPr>
        <w:t xml:space="preserve">不同股票之 DCA 策略分析 </w:t>
      </w:r>
    </w:p>
    <w:tbl>
      <w:tblPr>
        <w:tblStyle w:val="a7"/>
        <w:tblW w:w="9000" w:type="dxa"/>
        <w:jc w:val="center"/>
        <w:tblInd w:w="-6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gridCol w:w="1500"/>
      </w:tblGrid>
      <w:tr w:rsidR="00912331" w:rsidRPr="00900F71" w:rsidTr="00900F71">
        <w:trPr>
          <w:trHeight w:val="360"/>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股票</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最後金額</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累計回報</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年化報酬率</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proofErr w:type="gramStart"/>
            <w:r w:rsidRPr="00900F71">
              <w:rPr>
                <w:rFonts w:ascii="標楷體" w:eastAsia="標楷體" w:hAnsi="標楷體" w:cs="Arial Unicode MS"/>
                <w:sz w:val="20"/>
                <w:szCs w:val="20"/>
              </w:rPr>
              <w:t>最大回撤</w:t>
            </w:r>
            <w:proofErr w:type="gramEnd"/>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Sharpe Ratio</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AAPL</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$3,733,430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+37234.30%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+21.53%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-56.37%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0.63</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MSFT</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$180,861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+1708.61%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+10.00%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-36.82%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0.54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ORCL</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$710,891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+7008.91%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+15.07%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-84.19%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0.36</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MCD</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$91,007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+810.07%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+7.54%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-35.67%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0.54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KO</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$42,178</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+321.78%</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+4.85%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-34.07%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0.42</w:t>
            </w:r>
          </w:p>
        </w:tc>
      </w:tr>
    </w:tbl>
    <w:p w:rsidR="00900F71" w:rsidRDefault="00900F71" w:rsidP="00900F71">
      <w:pPr>
        <w:spacing w:after="200"/>
        <w:ind w:left="851"/>
        <w:rPr>
          <w:rFonts w:ascii="標楷體" w:eastAsia="標楷體" w:hAnsi="標楷體" w:cs="Arial Unicode MS"/>
          <w:b/>
          <w:bCs/>
          <w:sz w:val="24"/>
          <w:szCs w:val="24"/>
        </w:rPr>
      </w:pPr>
    </w:p>
    <w:p w:rsidR="00912331" w:rsidRPr="00900F71" w:rsidRDefault="00900F71" w:rsidP="00900F71">
      <w:pPr>
        <w:spacing w:after="200"/>
        <w:ind w:left="851"/>
        <w:rPr>
          <w:rFonts w:ascii="標楷體" w:eastAsia="標楷體" w:hAnsi="標楷體"/>
          <w:b/>
          <w:bCs/>
          <w:sz w:val="24"/>
          <w:szCs w:val="24"/>
        </w:rPr>
      </w:pPr>
      <w:r w:rsidRPr="00900F71">
        <w:rPr>
          <w:rFonts w:ascii="標楷體" w:eastAsia="標楷體" w:hAnsi="標楷體" w:cs="Arial Unicode MS"/>
          <w:b/>
          <w:bCs/>
          <w:sz w:val="24"/>
          <w:szCs w:val="24"/>
        </w:rPr>
        <w:t>不同股票之</w:t>
      </w:r>
      <w:r>
        <w:rPr>
          <w:rFonts w:ascii="標楷體" w:eastAsia="標楷體" w:hAnsi="標楷體" w:cs="Arial Unicode MS"/>
          <w:b/>
          <w:bCs/>
          <w:sz w:val="24"/>
          <w:szCs w:val="24"/>
        </w:rPr>
        <w:t xml:space="preserve"> SMA</w:t>
      </w:r>
      <w:r w:rsidRPr="00900F71">
        <w:rPr>
          <w:rFonts w:ascii="標楷體" w:eastAsia="標楷體" w:hAnsi="標楷體" w:cs="Arial Unicode MS"/>
          <w:b/>
          <w:bCs/>
          <w:sz w:val="24"/>
          <w:szCs w:val="24"/>
        </w:rPr>
        <w:t xml:space="preserve"> 策略分析 </w:t>
      </w:r>
    </w:p>
    <w:tbl>
      <w:tblPr>
        <w:tblStyle w:val="a8"/>
        <w:tblW w:w="9000" w:type="dxa"/>
        <w:jc w:val="center"/>
        <w:tblInd w:w="-6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gridCol w:w="1500"/>
      </w:tblGrid>
      <w:tr w:rsidR="00912331" w:rsidRPr="00900F71" w:rsidTr="00900F71">
        <w:trPr>
          <w:trHeight w:val="360"/>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策略</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股票</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最後金額</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累計回報</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年化報酬率</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proofErr w:type="gramStart"/>
            <w:r w:rsidRPr="00900F71">
              <w:rPr>
                <w:rFonts w:ascii="標楷體" w:eastAsia="標楷體" w:hAnsi="標楷體" w:cs="Arial Unicode MS"/>
                <w:sz w:val="20"/>
                <w:szCs w:val="20"/>
              </w:rPr>
              <w:t>最大回撤</w:t>
            </w:r>
            <w:proofErr w:type="gramEnd"/>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20/60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AAPL</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1,465,076</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+14550.76%</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+17.84%</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-78.53%</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20/60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MSFT</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119,439</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+1094.39%</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+8.51%</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-67.39%</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20/60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ORCL</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79,652</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+696.52%</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+7.07%</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-68.04%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20/60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MCD</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74,787</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+647.87%</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+6.85%</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-59.82%</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20/60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KO</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21,435</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+114.35%</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+2.54%</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-42.52%</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50/200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AAPL</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2,146,879</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+21368.79%</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+19.33%</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-62.24%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50/200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MSFT</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261,156</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+2511.56%</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+11.34%</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-73.12%</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50/200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ORCL</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36,268</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+262.68%</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+4.33%</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-68.47%</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50/200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MCD</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42,622</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+326.22%</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+4.89%</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-55.25%</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50/200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KO</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17,963</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+79.63%</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+1.95%</w:t>
            </w:r>
          </w:p>
        </w:tc>
        <w:tc>
          <w:tcPr>
            <w:tcW w:w="1500" w:type="dxa"/>
            <w:tcBorders>
              <w:top w:val="single" w:sz="7" w:space="0" w:color="CCCCCC"/>
              <w:left w:val="single" w:sz="7" w:space="0" w:color="CCCCCC"/>
              <w:bottom w:val="single" w:sz="7" w:space="0" w:color="CCCCCC"/>
              <w:right w:val="single" w:sz="7" w:space="0" w:color="CCCCCC"/>
            </w:tcBorders>
            <w:shd w:val="clear" w:color="auto" w:fill="auto"/>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-62.74%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100/300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AAPL</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3,071,032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+30610.32%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+20.75%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-84.37%</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100/300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MSFT</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143,851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+1338.51%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+9.17%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-69.84%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100/300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ORCL</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274,128</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+2641.28%</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+11.52%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-58.25%</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100/300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MCD</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79,256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+692.56%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+7.05%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-51.47%</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100/300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KO</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28,223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+182.23%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+3.47%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-48.47%</w:t>
            </w:r>
          </w:p>
        </w:tc>
      </w:tr>
    </w:tbl>
    <w:p w:rsidR="00912331" w:rsidRPr="00900F71" w:rsidRDefault="00912331">
      <w:pPr>
        <w:spacing w:after="200"/>
        <w:ind w:left="425"/>
        <w:rPr>
          <w:rFonts w:ascii="標楷體" w:eastAsia="標楷體" w:hAnsi="標楷體"/>
          <w:b/>
          <w:bCs/>
          <w:sz w:val="24"/>
          <w:szCs w:val="24"/>
        </w:rPr>
      </w:pPr>
    </w:p>
    <w:p w:rsidR="00912331" w:rsidRPr="00900F71" w:rsidRDefault="00900F71" w:rsidP="00900F71">
      <w:pPr>
        <w:spacing w:after="200"/>
        <w:ind w:left="851"/>
        <w:rPr>
          <w:rFonts w:ascii="標楷體" w:eastAsia="標楷體" w:hAnsi="標楷體"/>
          <w:b/>
          <w:bCs/>
          <w:sz w:val="24"/>
          <w:szCs w:val="24"/>
        </w:rPr>
      </w:pPr>
      <w:r>
        <w:rPr>
          <w:rFonts w:ascii="標楷體" w:eastAsia="標楷體" w:hAnsi="標楷體" w:cs="Arial Unicode MS"/>
          <w:b/>
          <w:bCs/>
          <w:sz w:val="24"/>
          <w:szCs w:val="24"/>
        </w:rPr>
        <w:t>不同</w:t>
      </w:r>
      <w:r w:rsidRPr="00900F71">
        <w:rPr>
          <w:rFonts w:ascii="標楷體" w:eastAsia="標楷體" w:hAnsi="標楷體" w:cs="Arial Unicode MS"/>
          <w:b/>
          <w:bCs/>
          <w:sz w:val="24"/>
          <w:szCs w:val="24"/>
        </w:rPr>
        <w:t>之</w:t>
      </w:r>
      <w:r>
        <w:rPr>
          <w:rFonts w:ascii="標楷體" w:eastAsia="標楷體" w:hAnsi="標楷體" w:cs="Arial Unicode MS"/>
          <w:b/>
          <w:bCs/>
          <w:sz w:val="24"/>
          <w:szCs w:val="24"/>
        </w:rPr>
        <w:t xml:space="preserve"> SMA</w:t>
      </w:r>
      <w:r w:rsidRPr="00900F71">
        <w:rPr>
          <w:rFonts w:ascii="標楷體" w:eastAsia="標楷體" w:hAnsi="標楷體" w:cs="Arial Unicode MS"/>
          <w:b/>
          <w:bCs/>
          <w:sz w:val="24"/>
          <w:szCs w:val="24"/>
        </w:rPr>
        <w:t xml:space="preserve"> </w:t>
      </w:r>
      <w:r>
        <w:rPr>
          <w:rFonts w:ascii="標楷體" w:eastAsia="標楷體" w:hAnsi="標楷體" w:cs="Arial Unicode MS"/>
          <w:b/>
          <w:bCs/>
          <w:sz w:val="24"/>
          <w:szCs w:val="24"/>
        </w:rPr>
        <w:t>策略</w:t>
      </w:r>
      <w:r w:rsidRPr="00900F71">
        <w:rPr>
          <w:rFonts w:ascii="標楷體" w:eastAsia="標楷體" w:hAnsi="標楷體" w:cs="Arial Unicode MS"/>
          <w:b/>
          <w:bCs/>
          <w:sz w:val="24"/>
          <w:szCs w:val="24"/>
        </w:rPr>
        <w:t xml:space="preserve">分析 </w:t>
      </w:r>
    </w:p>
    <w:tbl>
      <w:tblPr>
        <w:tblStyle w:val="a9"/>
        <w:tblW w:w="9000" w:type="dxa"/>
        <w:jc w:val="center"/>
        <w:tblInd w:w="-6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gridCol w:w="1500"/>
      </w:tblGrid>
      <w:tr w:rsidR="00912331" w:rsidRPr="00900F71" w:rsidTr="00900F71">
        <w:trPr>
          <w:trHeight w:val="428"/>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策略</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平均年化回報率</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平均</w:t>
            </w:r>
            <w:proofErr w:type="gramStart"/>
            <w:r w:rsidRPr="00900F71">
              <w:rPr>
                <w:rFonts w:ascii="標楷體" w:eastAsia="標楷體" w:hAnsi="標楷體" w:cs="Arial Unicode MS"/>
                <w:sz w:val="20"/>
                <w:szCs w:val="20"/>
              </w:rPr>
              <w:t>最大回撤</w:t>
            </w:r>
            <w:proofErr w:type="gramEnd"/>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平均波動率</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平均夏普</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cs="Arial Unicode MS"/>
                <w:sz w:val="20"/>
                <w:szCs w:val="20"/>
              </w:rPr>
              <w:t>平均交易量</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100/300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10.39%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-62.48%</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25.25%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0.39</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24.2</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50/200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8.37%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-64.36%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23.44%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0.33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44.4</w:t>
            </w:r>
          </w:p>
        </w:tc>
      </w:tr>
      <w:tr w:rsidR="00912331" w:rsidRPr="00900F71" w:rsidTr="00900F71">
        <w:trPr>
          <w:trHeight w:val="315"/>
          <w:jc w:val="center"/>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SMA 20/60</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8.56%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-63.26%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22.74%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0.36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rsidR="00912331" w:rsidRPr="00900F71" w:rsidRDefault="00900F71" w:rsidP="00900F71">
            <w:pPr>
              <w:widowControl w:val="0"/>
              <w:jc w:val="center"/>
              <w:rPr>
                <w:rFonts w:ascii="標楷體" w:eastAsia="標楷體" w:hAnsi="標楷體"/>
                <w:sz w:val="20"/>
                <w:szCs w:val="20"/>
              </w:rPr>
            </w:pPr>
            <w:r w:rsidRPr="00900F71">
              <w:rPr>
                <w:rFonts w:ascii="標楷體" w:eastAsia="標楷體" w:hAnsi="標楷體"/>
                <w:sz w:val="20"/>
                <w:szCs w:val="20"/>
              </w:rPr>
              <w:t>145.2</w:t>
            </w:r>
          </w:p>
        </w:tc>
      </w:tr>
    </w:tbl>
    <w:p w:rsidR="00912331" w:rsidRPr="00900F71" w:rsidRDefault="00912331">
      <w:pPr>
        <w:spacing w:after="200"/>
        <w:ind w:left="425"/>
        <w:rPr>
          <w:rFonts w:ascii="標楷體" w:eastAsia="標楷體" w:hAnsi="標楷體"/>
          <w:b/>
          <w:bCs/>
          <w:sz w:val="24"/>
          <w:szCs w:val="24"/>
        </w:rPr>
      </w:pPr>
    </w:p>
    <w:p w:rsidR="00912331" w:rsidRPr="00900F71" w:rsidRDefault="00900F71">
      <w:pPr>
        <w:spacing w:after="200"/>
        <w:ind w:left="425"/>
        <w:rPr>
          <w:rFonts w:ascii="標楷體" w:eastAsia="標楷體" w:hAnsi="標楷體"/>
          <w:b/>
          <w:bCs/>
          <w:sz w:val="24"/>
          <w:szCs w:val="24"/>
        </w:rPr>
      </w:pPr>
      <w:r w:rsidRPr="00900F71">
        <w:rPr>
          <w:rFonts w:ascii="標楷體" w:eastAsia="標楷體" w:hAnsi="標楷體" w:cs="Arial Unicode MS"/>
          <w:b/>
          <w:bCs/>
          <w:sz w:val="24"/>
          <w:szCs w:val="24"/>
        </w:rPr>
        <w:t xml:space="preserve">  4.3 買入持有 (Buy-and-Hold) 與 定期定額 (Fair DCA) 比較</w:t>
      </w:r>
    </w:p>
    <w:p w:rsidR="00912331" w:rsidRPr="00900F71" w:rsidRDefault="00900F71" w:rsidP="00900F71">
      <w:pPr>
        <w:spacing w:after="200"/>
        <w:ind w:left="993"/>
        <w:rPr>
          <w:rFonts w:ascii="標楷體" w:eastAsia="標楷體" w:hAnsi="標楷體"/>
          <w:sz w:val="24"/>
          <w:szCs w:val="24"/>
        </w:rPr>
      </w:pPr>
      <w:r w:rsidRPr="00900F71">
        <w:rPr>
          <w:rFonts w:ascii="標楷體" w:eastAsia="標楷體" w:hAnsi="標楷體" w:cs="Arial Unicode MS"/>
          <w:sz w:val="24"/>
          <w:szCs w:val="24"/>
        </w:rPr>
        <w:t>本研究對比了一次性投入 (Buy-and-Hold) 與分批投入 (Fair DCA)兩種資金控管方式。實證結果顯示，在五檔核心股票上，買入持有的年化報酬率皆全面勝過定期定額：</w:t>
      </w:r>
    </w:p>
    <w:p w:rsidR="00912331" w:rsidRPr="00900F71" w:rsidRDefault="00900F71" w:rsidP="00900F71">
      <w:pPr>
        <w:pStyle w:val="af4"/>
        <w:numPr>
          <w:ilvl w:val="0"/>
          <w:numId w:val="24"/>
        </w:numPr>
        <w:ind w:leftChars="0"/>
        <w:rPr>
          <w:rFonts w:ascii="標楷體" w:eastAsia="標楷體" w:hAnsi="標楷體"/>
          <w:sz w:val="24"/>
          <w:szCs w:val="24"/>
        </w:rPr>
      </w:pPr>
      <w:r w:rsidRPr="00900F71">
        <w:rPr>
          <w:rFonts w:ascii="標楷體" w:eastAsia="標楷體" w:hAnsi="標楷體" w:cs="Arial Unicode MS"/>
          <w:sz w:val="24"/>
          <w:szCs w:val="24"/>
        </w:rPr>
        <w:t>AAPL：Buy-and-Hold (26.44%) &gt; Fair DCA (21.53%)</w:t>
      </w:r>
    </w:p>
    <w:p w:rsidR="00912331" w:rsidRPr="00900F71" w:rsidRDefault="00900F71" w:rsidP="00900F71">
      <w:pPr>
        <w:pStyle w:val="af4"/>
        <w:numPr>
          <w:ilvl w:val="0"/>
          <w:numId w:val="24"/>
        </w:numPr>
        <w:ind w:leftChars="0"/>
        <w:rPr>
          <w:rFonts w:ascii="標楷體" w:eastAsia="標楷體" w:hAnsi="標楷體"/>
          <w:sz w:val="24"/>
          <w:szCs w:val="24"/>
        </w:rPr>
      </w:pPr>
      <w:r w:rsidRPr="00900F71">
        <w:rPr>
          <w:rFonts w:ascii="標楷體" w:eastAsia="標楷體" w:hAnsi="標楷體" w:cs="Arial Unicode MS"/>
          <w:sz w:val="24"/>
          <w:szCs w:val="24"/>
        </w:rPr>
        <w:t>MSFT：Buy-and-Hold (17.14%) &gt; Fair DCA (10.00%)</w:t>
      </w:r>
    </w:p>
    <w:p w:rsidR="00912331" w:rsidRPr="00900F71" w:rsidRDefault="00900F71" w:rsidP="00900F71">
      <w:pPr>
        <w:pStyle w:val="af4"/>
        <w:numPr>
          <w:ilvl w:val="0"/>
          <w:numId w:val="24"/>
        </w:numPr>
        <w:ind w:leftChars="0"/>
        <w:rPr>
          <w:rFonts w:ascii="標楷體" w:eastAsia="標楷體" w:hAnsi="標楷體"/>
          <w:sz w:val="24"/>
          <w:szCs w:val="24"/>
        </w:rPr>
      </w:pPr>
      <w:r w:rsidRPr="00900F71">
        <w:rPr>
          <w:rFonts w:ascii="標楷體" w:eastAsia="標楷體" w:hAnsi="標楷體" w:cs="Arial Unicode MS"/>
          <w:sz w:val="24"/>
          <w:szCs w:val="24"/>
        </w:rPr>
        <w:t>ORCL：Buy-and-Hold (15.07%) = Fair DCA (15.07%)</w:t>
      </w:r>
    </w:p>
    <w:p w:rsidR="00912331" w:rsidRPr="00900F71" w:rsidRDefault="00900F71" w:rsidP="00900F71">
      <w:pPr>
        <w:pStyle w:val="af4"/>
        <w:numPr>
          <w:ilvl w:val="0"/>
          <w:numId w:val="24"/>
        </w:numPr>
        <w:ind w:leftChars="0"/>
        <w:rPr>
          <w:rFonts w:ascii="標楷體" w:eastAsia="標楷體" w:hAnsi="標楷體"/>
          <w:sz w:val="24"/>
          <w:szCs w:val="24"/>
        </w:rPr>
      </w:pPr>
      <w:r w:rsidRPr="00900F71">
        <w:rPr>
          <w:rFonts w:ascii="標楷體" w:eastAsia="標楷體" w:hAnsi="標楷體" w:cs="Arial Unicode MS"/>
          <w:sz w:val="24"/>
          <w:szCs w:val="24"/>
        </w:rPr>
        <w:t>MCD：Buy-and-Hold (11.02%) &gt; Fair DCA (7.54%)</w:t>
      </w:r>
    </w:p>
    <w:p w:rsidR="00912331" w:rsidRPr="00900F71" w:rsidRDefault="00900F71" w:rsidP="00900F71">
      <w:pPr>
        <w:pStyle w:val="af4"/>
        <w:numPr>
          <w:ilvl w:val="0"/>
          <w:numId w:val="24"/>
        </w:numPr>
        <w:spacing w:after="200"/>
        <w:ind w:leftChars="0"/>
        <w:rPr>
          <w:rFonts w:ascii="標楷體" w:eastAsia="標楷體" w:hAnsi="標楷體"/>
          <w:sz w:val="24"/>
          <w:szCs w:val="24"/>
        </w:rPr>
      </w:pPr>
      <w:r w:rsidRPr="00900F71">
        <w:rPr>
          <w:rFonts w:ascii="標楷體" w:eastAsia="標楷體" w:hAnsi="標楷體" w:cs="Arial Unicode MS"/>
          <w:sz w:val="24"/>
          <w:szCs w:val="24"/>
        </w:rPr>
        <w:t>KO：Buy-and-Hold (7.68%) &gt; Fair DCA (4.85%)</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4FA27FFB" wp14:editId="2814A052">
            <wp:extent cx="5731200" cy="31496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149600"/>
                    </a:xfrm>
                    <a:prstGeom prst="rect">
                      <a:avLst/>
                    </a:prstGeom>
                    <a:ln/>
                  </pic:spPr>
                </pic:pic>
              </a:graphicData>
            </a:graphic>
          </wp:inline>
        </w:drawing>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3A571EFD" wp14:editId="3B4CA867">
            <wp:extent cx="5731200" cy="3175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175000"/>
                    </a:xfrm>
                    <a:prstGeom prst="rect">
                      <a:avLst/>
                    </a:prstGeom>
                    <a:ln/>
                  </pic:spPr>
                </pic:pic>
              </a:graphicData>
            </a:graphic>
          </wp:inline>
        </w:drawing>
      </w:r>
    </w:p>
    <w:p w:rsidR="00912331" w:rsidRPr="00900F71" w:rsidRDefault="00900F71" w:rsidP="00900F71">
      <w:pPr>
        <w:spacing w:after="200"/>
        <w:ind w:left="708" w:firstLineChars="177" w:firstLine="425"/>
        <w:rPr>
          <w:rFonts w:ascii="標楷體" w:eastAsia="標楷體" w:hAnsi="標楷體"/>
          <w:sz w:val="24"/>
          <w:szCs w:val="24"/>
        </w:rPr>
      </w:pPr>
      <w:r w:rsidRPr="00900F71">
        <w:rPr>
          <w:rFonts w:ascii="標楷體" w:eastAsia="標楷體" w:hAnsi="標楷體" w:cs="Arial Unicode MS"/>
          <w:sz w:val="24"/>
          <w:szCs w:val="24"/>
        </w:rPr>
        <w:t>此結果表明，雖然定期定額策略在資金分批投入時確實能有效降低短期的價格波動風險（如 AAPL DCA 的夏普值達 0.81，優於Buy-and-Hold 的 0.63），但由於本研究樣本涵蓋長達 30年的長期經濟擴張期，延遲資本投入反而使得整體資金錯失了可觀的複利成長機會。</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4.4 三種 SMA 交叉策略比較</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sz w:val="24"/>
          <w:szCs w:val="24"/>
        </w:rPr>
        <w:t xml:space="preserve">  在三組不同週期</w:t>
      </w:r>
      <w:proofErr w:type="gramStart"/>
      <w:r w:rsidRPr="00900F71">
        <w:rPr>
          <w:rFonts w:ascii="標楷體" w:eastAsia="標楷體" w:hAnsi="標楷體" w:cs="Arial Unicode MS"/>
          <w:sz w:val="24"/>
          <w:szCs w:val="24"/>
        </w:rPr>
        <w:t>的均線策略</w:t>
      </w:r>
      <w:proofErr w:type="gramEnd"/>
      <w:r w:rsidRPr="00900F71">
        <w:rPr>
          <w:rFonts w:ascii="標楷體" w:eastAsia="標楷體" w:hAnsi="標楷體" w:cs="Arial Unicode MS"/>
          <w:sz w:val="24"/>
          <w:szCs w:val="24"/>
        </w:rPr>
        <w:t>中，各項績效指標的平均表現呈現顯著差異：</w:t>
      </w:r>
    </w:p>
    <w:p w:rsidR="00912331" w:rsidRPr="00900F71" w:rsidRDefault="00900F71">
      <w:pPr>
        <w:spacing w:after="200"/>
        <w:ind w:left="850" w:hanging="435"/>
        <w:rPr>
          <w:rFonts w:ascii="標楷體" w:eastAsia="標楷體" w:hAnsi="標楷體"/>
          <w:sz w:val="24"/>
          <w:szCs w:val="24"/>
        </w:rPr>
      </w:pPr>
      <w:r w:rsidRPr="00900F71">
        <w:rPr>
          <w:rFonts w:ascii="標楷體" w:eastAsia="標楷體" w:hAnsi="標楷體" w:cs="Arial Unicode MS"/>
          <w:sz w:val="24"/>
          <w:szCs w:val="24"/>
        </w:rPr>
        <w:t xml:space="preserve">   1. SMA 100/300（長期）：平均年化報酬最高 (10.55%)，平均夏普值最佳 (0.39)，且平均總交易次數最少（僅 24.2次）。此結果顯示，較長的觀察週期能有效過濾市場雜訊，保留完整的趨勢段，為本研究中表現最佳</w:t>
      </w:r>
      <w:proofErr w:type="gramStart"/>
      <w:r w:rsidRPr="00900F71">
        <w:rPr>
          <w:rFonts w:ascii="標楷體" w:eastAsia="標楷體" w:hAnsi="標楷體" w:cs="Arial Unicode MS"/>
          <w:sz w:val="24"/>
          <w:szCs w:val="24"/>
        </w:rPr>
        <w:t>的均線策略</w:t>
      </w:r>
      <w:proofErr w:type="gramEnd"/>
      <w:r w:rsidRPr="00900F71">
        <w:rPr>
          <w:rFonts w:ascii="標楷體" w:eastAsia="標楷體" w:hAnsi="標楷體" w:cs="Arial Unicode MS"/>
          <w:sz w:val="24"/>
          <w:szCs w:val="24"/>
        </w:rPr>
        <w:t>。</w:t>
      </w:r>
    </w:p>
    <w:p w:rsidR="00912331" w:rsidRPr="00900F71" w:rsidRDefault="00900F71">
      <w:pPr>
        <w:spacing w:after="200"/>
        <w:ind w:left="992" w:hanging="566"/>
        <w:rPr>
          <w:rFonts w:ascii="標楷體" w:eastAsia="標楷體" w:hAnsi="標楷體"/>
          <w:sz w:val="24"/>
          <w:szCs w:val="24"/>
        </w:rPr>
      </w:pPr>
      <w:r w:rsidRPr="00900F71">
        <w:rPr>
          <w:rFonts w:ascii="標楷體" w:eastAsia="標楷體" w:hAnsi="標楷體" w:cs="Arial Unicode MS"/>
          <w:sz w:val="24"/>
          <w:szCs w:val="24"/>
        </w:rPr>
        <w:t xml:space="preserve">   2. SMA 20/60（短期）：平均年化報酬為 8.69%。其最大的劣勢在於極高的交易頻率（平均達 145 次），在盤整期容易因假突破(Whipsaw) 產生連續虧損；且若實務中計入交易手續費</w:t>
      </w:r>
      <w:proofErr w:type="gramStart"/>
      <w:r w:rsidRPr="00900F71">
        <w:rPr>
          <w:rFonts w:ascii="標楷體" w:eastAsia="標楷體" w:hAnsi="標楷體" w:cs="Arial Unicode MS"/>
          <w:sz w:val="24"/>
          <w:szCs w:val="24"/>
        </w:rPr>
        <w:t>與滑價</w:t>
      </w:r>
      <w:proofErr w:type="gramEnd"/>
      <w:r w:rsidRPr="00900F71">
        <w:rPr>
          <w:rFonts w:ascii="標楷體" w:eastAsia="標楷體" w:hAnsi="標楷體" w:cs="Arial Unicode MS"/>
          <w:sz w:val="24"/>
          <w:szCs w:val="24"/>
        </w:rPr>
        <w:t>，其真實績效將進一步惡化。</w:t>
      </w:r>
    </w:p>
    <w:p w:rsidR="00912331" w:rsidRPr="00900F71" w:rsidRDefault="00900F71">
      <w:pPr>
        <w:spacing w:after="200"/>
        <w:ind w:left="992" w:hanging="425"/>
        <w:rPr>
          <w:rFonts w:ascii="標楷體" w:eastAsia="標楷體" w:hAnsi="標楷體"/>
          <w:sz w:val="24"/>
          <w:szCs w:val="24"/>
        </w:rPr>
      </w:pPr>
      <w:r w:rsidRPr="00900F71">
        <w:rPr>
          <w:rFonts w:ascii="標楷體" w:eastAsia="標楷體" w:hAnsi="標楷體" w:cs="Arial Unicode MS"/>
          <w:sz w:val="24"/>
          <w:szCs w:val="24"/>
        </w:rPr>
        <w:t xml:space="preserve">   3. SMA 50/200（中長期）：作為經典</w:t>
      </w:r>
      <w:proofErr w:type="gramStart"/>
      <w:r w:rsidRPr="00900F71">
        <w:rPr>
          <w:rFonts w:ascii="標楷體" w:eastAsia="標楷體" w:hAnsi="標楷體" w:cs="Arial Unicode MS"/>
          <w:sz w:val="24"/>
          <w:szCs w:val="24"/>
        </w:rPr>
        <w:t>的均線參數</w:t>
      </w:r>
      <w:proofErr w:type="gramEnd"/>
      <w:r w:rsidRPr="00900F71">
        <w:rPr>
          <w:rFonts w:ascii="標楷體" w:eastAsia="標楷體" w:hAnsi="標楷體" w:cs="Arial Unicode MS"/>
          <w:sz w:val="24"/>
          <w:szCs w:val="24"/>
        </w:rPr>
        <w:t>，其平均年化報酬最低(8.25%)，且中位數表現亦相對較差。在本樣本數據中，並未展現出預期中「兼顧反應速度與穩定性」的折衷優勢。</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06E53EC1" wp14:editId="23A52298">
            <wp:extent cx="5731200" cy="313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1092"/>
                    <a:stretch>
                      <a:fillRect/>
                    </a:stretch>
                  </pic:blipFill>
                  <pic:spPr>
                    <a:xfrm>
                      <a:off x="0" y="0"/>
                      <a:ext cx="5731200" cy="3136900"/>
                    </a:xfrm>
                    <a:prstGeom prst="rect">
                      <a:avLst/>
                    </a:prstGeom>
                    <a:ln/>
                  </pic:spPr>
                </pic:pic>
              </a:graphicData>
            </a:graphic>
          </wp:inline>
        </w:drawing>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112CE8B4" wp14:editId="02E7FFCF">
            <wp:extent cx="5731200" cy="3111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3111500"/>
                    </a:xfrm>
                    <a:prstGeom prst="rect">
                      <a:avLst/>
                    </a:prstGeom>
                    <a:ln/>
                  </pic:spPr>
                </pic:pic>
              </a:graphicData>
            </a:graphic>
          </wp:inline>
        </w:drawing>
      </w:r>
    </w:p>
    <w:p w:rsidR="00912331" w:rsidRPr="00900F71" w:rsidRDefault="00900F71">
      <w:pPr>
        <w:spacing w:after="200"/>
        <w:ind w:left="425"/>
        <w:rPr>
          <w:rFonts w:ascii="標楷體" w:eastAsia="標楷體" w:hAnsi="標楷體"/>
          <w:b/>
          <w:bCs/>
          <w:sz w:val="24"/>
          <w:szCs w:val="24"/>
        </w:rPr>
      </w:pPr>
      <w:r w:rsidRPr="00900F71">
        <w:rPr>
          <w:rFonts w:ascii="標楷體" w:eastAsia="標楷體" w:hAnsi="標楷體" w:cs="Arial Unicode MS"/>
          <w:b/>
          <w:bCs/>
          <w:sz w:val="24"/>
          <w:szCs w:val="24"/>
        </w:rPr>
        <w:t xml:space="preserve">  4.5 報酬與風險總</w:t>
      </w:r>
      <w:proofErr w:type="gramStart"/>
      <w:r w:rsidRPr="00900F71">
        <w:rPr>
          <w:rFonts w:ascii="標楷體" w:eastAsia="標楷體" w:hAnsi="標楷體" w:cs="Arial Unicode MS"/>
          <w:b/>
          <w:bCs/>
          <w:sz w:val="24"/>
          <w:szCs w:val="24"/>
        </w:rPr>
        <w:t>覽</w:t>
      </w:r>
      <w:proofErr w:type="gramEnd"/>
      <w:r w:rsidRPr="00900F71">
        <w:rPr>
          <w:rFonts w:ascii="標楷體" w:eastAsia="標楷體" w:hAnsi="標楷體" w:cs="Arial Unicode MS"/>
          <w:b/>
          <w:bCs/>
          <w:sz w:val="24"/>
          <w:szCs w:val="24"/>
        </w:rPr>
        <w:t xml:space="preserve">散佈圖 </w:t>
      </w:r>
    </w:p>
    <w:p w:rsidR="00912331" w:rsidRPr="00900F71" w:rsidRDefault="00900F71">
      <w:pPr>
        <w:spacing w:after="200"/>
        <w:ind w:left="708" w:firstLine="425"/>
        <w:rPr>
          <w:rFonts w:ascii="標楷體" w:eastAsia="標楷體" w:hAnsi="標楷體"/>
          <w:b/>
          <w:bCs/>
          <w:sz w:val="24"/>
          <w:szCs w:val="24"/>
        </w:rPr>
      </w:pPr>
      <w:r w:rsidRPr="00900F71">
        <w:rPr>
          <w:rFonts w:ascii="標楷體" w:eastAsia="標楷體" w:hAnsi="標楷體" w:cs="Arial Unicode MS"/>
          <w:sz w:val="24"/>
          <w:szCs w:val="24"/>
        </w:rPr>
        <w:t>主要用於量化評估並比較不同投資策略的績效與穩定度。圖表的 Y 軸為「平均年化報酬率」（Average Annualized Return，代表獲利能力），X 軸為「平均波動率」（Average Volatility，代表風險程度）。</w:t>
      </w:r>
      <w:r w:rsidRPr="00900F71">
        <w:rPr>
          <w:rFonts w:ascii="標楷體" w:eastAsia="標楷體" w:hAnsi="標楷體"/>
          <w:b/>
          <w:bCs/>
          <w:sz w:val="24"/>
          <w:szCs w:val="24"/>
        </w:rPr>
        <w:t xml:space="preserve">  </w:t>
      </w:r>
    </w:p>
    <w:p w:rsidR="00912331" w:rsidRPr="00900F71" w:rsidRDefault="00900F71">
      <w:pPr>
        <w:pBdr>
          <w:top w:val="nil"/>
          <w:left w:val="nil"/>
          <w:bottom w:val="nil"/>
          <w:right w:val="nil"/>
          <w:between w:val="nil"/>
        </w:pBdr>
        <w:spacing w:before="240" w:after="240" w:line="240" w:lineRule="auto"/>
        <w:ind w:left="1559"/>
        <w:rPr>
          <w:rFonts w:ascii="標楷體" w:eastAsia="標楷體" w:hAnsi="標楷體"/>
          <w:sz w:val="24"/>
          <w:szCs w:val="24"/>
        </w:rPr>
      </w:pPr>
      <w:r w:rsidRPr="00900F71">
        <w:rPr>
          <w:rFonts w:ascii="標楷體" w:eastAsia="標楷體" w:hAnsi="標楷體" w:cs="Arial Unicode MS"/>
          <w:sz w:val="24"/>
          <w:szCs w:val="24"/>
        </w:rPr>
        <w:t>1. 高風險、高報酬 (右上角)</w:t>
      </w:r>
    </w:p>
    <w:p w:rsidR="00912331" w:rsidRPr="00900F71" w:rsidRDefault="00900F71">
      <w:pPr>
        <w:pBdr>
          <w:top w:val="nil"/>
          <w:left w:val="nil"/>
          <w:bottom w:val="nil"/>
          <w:right w:val="nil"/>
          <w:between w:val="nil"/>
        </w:pBdr>
        <w:spacing w:before="240" w:after="240" w:line="240" w:lineRule="auto"/>
        <w:ind w:left="1559"/>
        <w:rPr>
          <w:rFonts w:ascii="標楷體" w:eastAsia="標楷體" w:hAnsi="標楷體"/>
          <w:sz w:val="24"/>
          <w:szCs w:val="24"/>
        </w:rPr>
      </w:pPr>
      <w:r w:rsidRPr="00900F71">
        <w:rPr>
          <w:rFonts w:ascii="標楷體" w:eastAsia="標楷體" w:hAnsi="標楷體" w:cs="Arial Unicode MS"/>
          <w:sz w:val="24"/>
          <w:szCs w:val="24"/>
        </w:rPr>
        <w:t>Buy-and-Hold（買入持有）</w:t>
      </w:r>
    </w:p>
    <w:p w:rsidR="00912331" w:rsidRPr="00900F71" w:rsidRDefault="00900F71">
      <w:pPr>
        <w:pBdr>
          <w:top w:val="nil"/>
          <w:left w:val="nil"/>
          <w:bottom w:val="nil"/>
          <w:right w:val="nil"/>
          <w:between w:val="nil"/>
        </w:pBdr>
        <w:spacing w:before="240" w:after="240" w:line="240" w:lineRule="auto"/>
        <w:ind w:left="1559"/>
        <w:rPr>
          <w:rFonts w:ascii="標楷體" w:eastAsia="標楷體" w:hAnsi="標楷體"/>
          <w:sz w:val="24"/>
          <w:szCs w:val="24"/>
        </w:rPr>
      </w:pPr>
      <w:r w:rsidRPr="00900F71">
        <w:rPr>
          <w:rFonts w:ascii="標楷體" w:eastAsia="標楷體" w:hAnsi="標楷體" w:cs="Arial Unicode MS"/>
          <w:sz w:val="24"/>
          <w:szCs w:val="24"/>
        </w:rPr>
        <w:t>表現： 擁有最高的年化報酬率，但也伴隨最高的波動風險。</w:t>
      </w:r>
    </w:p>
    <w:p w:rsidR="00912331" w:rsidRPr="00900F71" w:rsidRDefault="00900F71">
      <w:pPr>
        <w:pBdr>
          <w:top w:val="nil"/>
          <w:left w:val="nil"/>
          <w:bottom w:val="nil"/>
          <w:right w:val="nil"/>
          <w:between w:val="nil"/>
        </w:pBdr>
        <w:spacing w:before="240" w:after="240" w:line="240" w:lineRule="auto"/>
        <w:ind w:left="1559"/>
        <w:rPr>
          <w:rFonts w:ascii="標楷體" w:eastAsia="標楷體" w:hAnsi="標楷體"/>
          <w:sz w:val="24"/>
          <w:szCs w:val="24"/>
        </w:rPr>
      </w:pPr>
      <w:r w:rsidRPr="00900F71">
        <w:rPr>
          <w:rFonts w:ascii="標楷體" w:eastAsia="標楷體" w:hAnsi="標楷體" w:cs="Arial Unicode MS"/>
          <w:sz w:val="24"/>
          <w:szCs w:val="24"/>
        </w:rPr>
        <w:t>分析： 這展現了資本市場最典型的特性</w:t>
      </w:r>
      <w:proofErr w:type="gramStart"/>
      <w:r w:rsidRPr="00900F71">
        <w:rPr>
          <w:rFonts w:ascii="標楷體" w:eastAsia="標楷體" w:hAnsi="標楷體" w:cs="Arial Unicode MS"/>
          <w:sz w:val="24"/>
          <w:szCs w:val="24"/>
        </w:rPr>
        <w:t>——</w:t>
      </w:r>
      <w:proofErr w:type="gramEnd"/>
      <w:r w:rsidRPr="00900F71">
        <w:rPr>
          <w:rFonts w:ascii="標楷體" w:eastAsia="標楷體" w:hAnsi="標楷體" w:cs="Arial Unicode MS"/>
          <w:sz w:val="24"/>
          <w:szCs w:val="24"/>
        </w:rPr>
        <w:t>投資人必須承受巨大的資產價格波動，才能換取長期累積的最高絕對報酬。適合風險承受度極高、且投資期間極長的策略。</w:t>
      </w:r>
    </w:p>
    <w:p w:rsidR="00912331" w:rsidRPr="00900F71" w:rsidRDefault="00900F71">
      <w:pPr>
        <w:pBdr>
          <w:top w:val="nil"/>
          <w:left w:val="nil"/>
          <w:bottom w:val="nil"/>
          <w:right w:val="nil"/>
          <w:between w:val="nil"/>
        </w:pBdr>
        <w:spacing w:before="240" w:after="240"/>
        <w:ind w:left="1559"/>
        <w:rPr>
          <w:rFonts w:ascii="標楷體" w:eastAsia="標楷體" w:hAnsi="標楷體"/>
          <w:color w:val="000000"/>
          <w:sz w:val="24"/>
          <w:szCs w:val="24"/>
        </w:rPr>
      </w:pPr>
      <w:r w:rsidRPr="00900F71">
        <w:rPr>
          <w:rFonts w:ascii="標楷體" w:eastAsia="標楷體" w:hAnsi="標楷體" w:cs="Arial Unicode MS"/>
          <w:color w:val="000000"/>
          <w:sz w:val="24"/>
          <w:szCs w:val="24"/>
        </w:rPr>
        <w:t>2. 低風險、穩健報酬 (左側)</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Fair DCA（定期定額）</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表現： 波動率在所有策略中最低，且報酬率維持在水準之上。</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分析： 這</w:t>
      </w:r>
      <w:proofErr w:type="gramStart"/>
      <w:r w:rsidRPr="00900F71">
        <w:rPr>
          <w:rFonts w:ascii="標楷體" w:eastAsia="標楷體" w:hAnsi="標楷體" w:cs="Arial Unicode MS"/>
          <w:sz w:val="24"/>
          <w:szCs w:val="24"/>
        </w:rPr>
        <w:t>是圖表</w:t>
      </w:r>
      <w:proofErr w:type="gramEnd"/>
      <w:r w:rsidRPr="00900F71">
        <w:rPr>
          <w:rFonts w:ascii="標楷體" w:eastAsia="標楷體" w:hAnsi="標楷體" w:cs="Arial Unicode MS"/>
          <w:sz w:val="24"/>
          <w:szCs w:val="24"/>
        </w:rPr>
        <w:t>中最具風險調整後報酬（Risk-Adjusted Return）優勢的策略。它成功發揮了平滑成本與降低波動的作用，在不承擔極端風險的情況下，依然能交出</w:t>
      </w:r>
      <w:proofErr w:type="gramStart"/>
      <w:r w:rsidRPr="00900F71">
        <w:rPr>
          <w:rFonts w:ascii="標楷體" w:eastAsia="標楷體" w:hAnsi="標楷體" w:cs="Arial Unicode MS"/>
          <w:sz w:val="24"/>
          <w:szCs w:val="24"/>
        </w:rPr>
        <w:t>貼近均值基準</w:t>
      </w:r>
      <w:proofErr w:type="gramEnd"/>
      <w:r w:rsidRPr="00900F71">
        <w:rPr>
          <w:rFonts w:ascii="標楷體" w:eastAsia="標楷體" w:hAnsi="標楷體" w:cs="Arial Unicode MS"/>
          <w:sz w:val="24"/>
          <w:szCs w:val="24"/>
        </w:rPr>
        <w:t>線的獲利成績。</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color w:val="000000"/>
          <w:sz w:val="24"/>
          <w:szCs w:val="24"/>
        </w:rPr>
        <w:t>3. 次佳或無效的風險報酬比 (中下方)</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SMA 100/300, SMA 20/60, SMA 50/200（簡單移動平均線策略）</w:t>
      </w:r>
    </w:p>
    <w:p w:rsidR="00912331" w:rsidRPr="00900F71" w:rsidRDefault="00900F71">
      <w:pPr>
        <w:pBdr>
          <w:top w:val="nil"/>
          <w:left w:val="nil"/>
          <w:bottom w:val="nil"/>
          <w:right w:val="nil"/>
          <w:between w:val="nil"/>
        </w:pBdr>
        <w:spacing w:before="240" w:after="240"/>
        <w:ind w:left="1559"/>
        <w:rPr>
          <w:rFonts w:ascii="標楷體" w:eastAsia="標楷體" w:hAnsi="標楷體"/>
          <w:sz w:val="24"/>
          <w:szCs w:val="24"/>
        </w:rPr>
      </w:pPr>
      <w:r w:rsidRPr="00900F71">
        <w:rPr>
          <w:rFonts w:ascii="標楷體" w:eastAsia="標楷體" w:hAnsi="標楷體" w:cs="Arial Unicode MS"/>
          <w:sz w:val="24"/>
          <w:szCs w:val="24"/>
        </w:rPr>
        <w:t>表現： 這三</w:t>
      </w:r>
      <w:proofErr w:type="gramStart"/>
      <w:r w:rsidRPr="00900F71">
        <w:rPr>
          <w:rFonts w:ascii="標楷體" w:eastAsia="標楷體" w:hAnsi="標楷體" w:cs="Arial Unicode MS"/>
          <w:sz w:val="24"/>
          <w:szCs w:val="24"/>
        </w:rPr>
        <w:t>種均線策略</w:t>
      </w:r>
      <w:proofErr w:type="gramEnd"/>
      <w:r w:rsidRPr="00900F71">
        <w:rPr>
          <w:rFonts w:ascii="標楷體" w:eastAsia="標楷體" w:hAnsi="標楷體" w:cs="Arial Unicode MS"/>
          <w:sz w:val="24"/>
          <w:szCs w:val="24"/>
        </w:rPr>
        <w:t>的報酬率偏低，但波動率卻高達 23% 至 25%。</w:t>
      </w:r>
    </w:p>
    <w:p w:rsidR="00912331" w:rsidRPr="00900F71" w:rsidRDefault="00900F71">
      <w:pPr>
        <w:pBdr>
          <w:top w:val="nil"/>
          <w:left w:val="nil"/>
          <w:bottom w:val="nil"/>
          <w:right w:val="nil"/>
          <w:between w:val="nil"/>
        </w:pBdr>
        <w:spacing w:before="240" w:after="240"/>
        <w:ind w:left="1559"/>
        <w:rPr>
          <w:rFonts w:ascii="標楷體" w:eastAsia="標楷體" w:hAnsi="標楷體"/>
          <w:b/>
          <w:bCs/>
          <w:sz w:val="24"/>
          <w:szCs w:val="24"/>
        </w:rPr>
      </w:pPr>
      <w:r w:rsidRPr="00900F71">
        <w:rPr>
          <w:rFonts w:ascii="標楷體" w:eastAsia="標楷體" w:hAnsi="標楷體" w:cs="Arial Unicode MS"/>
          <w:sz w:val="24"/>
          <w:szCs w:val="24"/>
        </w:rPr>
        <w:t>分析： 在這組回測數據下，</w:t>
      </w:r>
      <w:proofErr w:type="gramStart"/>
      <w:r w:rsidRPr="00900F71">
        <w:rPr>
          <w:rFonts w:ascii="標楷體" w:eastAsia="標楷體" w:hAnsi="標楷體" w:cs="Arial Unicode MS"/>
          <w:sz w:val="24"/>
          <w:szCs w:val="24"/>
        </w:rPr>
        <w:t>這些均線動能</w:t>
      </w:r>
      <w:proofErr w:type="gramEnd"/>
      <w:r w:rsidRPr="00900F71">
        <w:rPr>
          <w:rFonts w:ascii="標楷體" w:eastAsia="標楷體" w:hAnsi="標楷體" w:cs="Arial Unicode MS"/>
          <w:sz w:val="24"/>
          <w:szCs w:val="24"/>
        </w:rPr>
        <w:t>或趨勢跟蹤策略顯得相對無效。與 Fair DCA 相比，這些 SMA 策略不僅報酬更低，投資人還必須承受更大的波動風險（被 Fair DCA 完全壓制/Dominated）。</w:t>
      </w:r>
    </w:p>
    <w:p w:rsidR="00912331" w:rsidRPr="00900F71" w:rsidRDefault="00912331">
      <w:pPr>
        <w:spacing w:after="200"/>
        <w:ind w:left="708" w:firstLine="425"/>
        <w:rPr>
          <w:rFonts w:ascii="標楷體" w:eastAsia="標楷體" w:hAnsi="標楷體"/>
          <w:b/>
          <w:bCs/>
          <w:sz w:val="24"/>
          <w:szCs w:val="24"/>
        </w:rPr>
      </w:pPr>
    </w:p>
    <w:p w:rsidR="00912331" w:rsidRPr="00900F71" w:rsidRDefault="00900F71" w:rsidP="00900F71">
      <w:pPr>
        <w:spacing w:after="200"/>
        <w:jc w:val="center"/>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194D6771" wp14:editId="49861938">
            <wp:extent cx="5731200" cy="42418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4241800"/>
                    </a:xfrm>
                    <a:prstGeom prst="rect">
                      <a:avLst/>
                    </a:prstGeom>
                    <a:ln/>
                  </pic:spPr>
                </pic:pic>
              </a:graphicData>
            </a:graphic>
          </wp:inline>
        </w:drawing>
      </w:r>
    </w:p>
    <w:p w:rsidR="00912331" w:rsidRPr="00900F71" w:rsidRDefault="00900F71" w:rsidP="00900F71">
      <w:pPr>
        <w:spacing w:after="200"/>
        <w:ind w:firstLine="566"/>
        <w:rPr>
          <w:rFonts w:ascii="標楷體" w:eastAsia="標楷體" w:hAnsi="標楷體"/>
          <w:b/>
          <w:bCs/>
          <w:sz w:val="36"/>
          <w:szCs w:val="36"/>
        </w:rPr>
      </w:pPr>
      <w:r w:rsidRPr="00900F71">
        <w:rPr>
          <w:rFonts w:ascii="標楷體" w:eastAsia="標楷體" w:hAnsi="標楷體" w:cs="Arial Unicode MS"/>
          <w:sz w:val="24"/>
          <w:szCs w:val="24"/>
        </w:rPr>
        <w:t>綜合結論：在不考慮交易成本的樂觀假設下，全樣本績效分析證明了「選對標的並長期持有」仍是獲取超額報酬的最有效途徑。若投資者選定之主動交易策略（如 SMA）或防禦型個股（如 KO）的報酬無法超越被動投資大盤 ETF(SPY)，則其策略的實用價值與機會成本將面臨嚴峻挑戰。</w:t>
      </w:r>
    </w:p>
    <w:p w:rsidR="00912331" w:rsidRPr="00900F71" w:rsidRDefault="00900F71">
      <w:pPr>
        <w:numPr>
          <w:ilvl w:val="0"/>
          <w:numId w:val="15"/>
        </w:numPr>
        <w:spacing w:after="200"/>
        <w:rPr>
          <w:rFonts w:ascii="標楷體" w:eastAsia="標楷體" w:hAnsi="標楷體"/>
          <w:b/>
          <w:bCs/>
          <w:color w:val="000000" w:themeColor="text1"/>
          <w:sz w:val="36"/>
          <w:szCs w:val="36"/>
        </w:rPr>
      </w:pPr>
      <w:r w:rsidRPr="00900F71">
        <w:rPr>
          <w:rFonts w:ascii="標楷體" w:eastAsia="標楷體" w:hAnsi="標楷體" w:cs="Arial Unicode MS"/>
          <w:b/>
          <w:bCs/>
          <w:color w:val="000000" w:themeColor="text1"/>
          <w:sz w:val="36"/>
          <w:szCs w:val="36"/>
        </w:rPr>
        <w:t>個股層級分析</w:t>
      </w:r>
    </w:p>
    <w:p w:rsidR="00912331" w:rsidRPr="00900F71" w:rsidRDefault="00900F71">
      <w:pPr>
        <w:spacing w:after="200"/>
        <w:ind w:firstLine="566"/>
        <w:rPr>
          <w:rFonts w:ascii="標楷體" w:eastAsia="標楷體" w:hAnsi="標楷體"/>
          <w:b/>
          <w:bCs/>
          <w:sz w:val="36"/>
          <w:szCs w:val="36"/>
        </w:rPr>
      </w:pPr>
      <w:r w:rsidRPr="00900F71">
        <w:rPr>
          <w:rFonts w:ascii="標楷體" w:eastAsia="標楷體" w:hAnsi="標楷體" w:cs="Arial Unicode MS"/>
          <w:sz w:val="24"/>
          <w:szCs w:val="24"/>
        </w:rPr>
        <w:t>為深入理解不同產業特性與股性對投資規則的影響，本節將針對五檔核心股票 (MCD, KO, AAPL, MSFT, ORCL)的各項策略回測結果進行獨立的剖析，並與市場基準 (SPY，年化報酬率 10.38%) 進行對比。</w:t>
      </w:r>
    </w:p>
    <w:p w:rsidR="00912331" w:rsidRPr="00900F71" w:rsidRDefault="00900F71">
      <w:pPr>
        <w:spacing w:after="200"/>
        <w:ind w:left="420"/>
        <w:rPr>
          <w:rFonts w:ascii="標楷體" w:eastAsia="標楷體" w:hAnsi="標楷體"/>
          <w:sz w:val="24"/>
          <w:szCs w:val="24"/>
        </w:rPr>
      </w:pPr>
      <w:r w:rsidRPr="00900F71">
        <w:rPr>
          <w:rFonts w:ascii="標楷體" w:eastAsia="標楷體" w:hAnsi="標楷體" w:cs="Arial Unicode MS"/>
          <w:b/>
          <w:bCs/>
          <w:sz w:val="24"/>
          <w:szCs w:val="24"/>
        </w:rPr>
        <w:t xml:space="preserve">  5.1 麥當勞 (McDonald's, MCD) </w:t>
      </w:r>
      <w:proofErr w:type="gramStart"/>
      <w:r w:rsidRPr="00900F71">
        <w:rPr>
          <w:rFonts w:ascii="標楷體" w:eastAsia="標楷體" w:hAnsi="標楷體" w:cs="Arial Unicode MS"/>
          <w:b/>
          <w:bCs/>
          <w:sz w:val="24"/>
          <w:szCs w:val="24"/>
        </w:rPr>
        <w:t>——</w:t>
      </w:r>
      <w:proofErr w:type="gramEnd"/>
      <w:r w:rsidRPr="00900F71">
        <w:rPr>
          <w:rFonts w:ascii="標楷體" w:eastAsia="標楷體" w:hAnsi="標楷體" w:cs="Arial Unicode MS"/>
          <w:b/>
          <w:bCs/>
          <w:sz w:val="24"/>
          <w:szCs w:val="24"/>
        </w:rPr>
        <w:t xml:space="preserve"> 消費循環型</w:t>
      </w:r>
    </w:p>
    <w:p w:rsidR="00912331" w:rsidRPr="00900F71" w:rsidRDefault="00900F71">
      <w:pPr>
        <w:spacing w:after="200"/>
        <w:ind w:left="420"/>
        <w:rPr>
          <w:rFonts w:ascii="標楷體" w:eastAsia="標楷體" w:hAnsi="標楷體"/>
          <w:sz w:val="24"/>
          <w:szCs w:val="24"/>
        </w:rPr>
      </w:pPr>
      <w:r w:rsidRPr="00900F71">
        <w:rPr>
          <w:rFonts w:ascii="標楷體" w:eastAsia="標楷體" w:hAnsi="標楷體" w:cs="Arial Unicode MS"/>
          <w:sz w:val="24"/>
          <w:szCs w:val="24"/>
        </w:rPr>
        <w:t xml:space="preserve">  麥當勞具備穩定的現金流與消費屬性，但在趨勢追蹤策略上的表現差強人意。</w:t>
      </w:r>
    </w:p>
    <w:p w:rsidR="00912331" w:rsidRPr="00900F71" w:rsidRDefault="00900F71" w:rsidP="00900F71">
      <w:pPr>
        <w:pStyle w:val="af4"/>
        <w:numPr>
          <w:ilvl w:val="0"/>
          <w:numId w:val="25"/>
        </w:numPr>
        <w:ind w:leftChars="0" w:left="1560"/>
        <w:rPr>
          <w:rFonts w:ascii="標楷體" w:eastAsia="標楷體" w:hAnsi="標楷體"/>
          <w:sz w:val="24"/>
          <w:szCs w:val="24"/>
        </w:rPr>
      </w:pPr>
      <w:r w:rsidRPr="00900F71">
        <w:rPr>
          <w:rFonts w:ascii="標楷體" w:eastAsia="標楷體" w:hAnsi="標楷體" w:cs="Arial Unicode MS"/>
          <w:sz w:val="24"/>
          <w:szCs w:val="24"/>
        </w:rPr>
        <w:t>最佳策略：買入持有 (Buy-and-Hold) 表現最佳，最終資產價值達 $239,145（累積報酬+2291.45%），年化報酬率11.02%，夏普值為 0.47。這也是 MCD 在所有測試中唯一能超越 SPY 基準的策略。</w:t>
      </w:r>
    </w:p>
    <w:p w:rsidR="00912331" w:rsidRPr="00900F71" w:rsidRDefault="00900F71" w:rsidP="00900F71">
      <w:pPr>
        <w:pStyle w:val="af4"/>
        <w:numPr>
          <w:ilvl w:val="0"/>
          <w:numId w:val="25"/>
        </w:numPr>
        <w:spacing w:after="200"/>
        <w:ind w:leftChars="0" w:left="1560"/>
        <w:rPr>
          <w:rFonts w:ascii="標楷體" w:eastAsia="標楷體" w:hAnsi="標楷體"/>
          <w:sz w:val="24"/>
          <w:szCs w:val="24"/>
        </w:rPr>
      </w:pPr>
      <w:r w:rsidRPr="00900F71">
        <w:rPr>
          <w:rFonts w:ascii="標楷體" w:eastAsia="標楷體" w:hAnsi="標楷體" w:cs="Arial Unicode MS"/>
          <w:sz w:val="24"/>
          <w:szCs w:val="24"/>
        </w:rPr>
        <w:t xml:space="preserve">風險與其他策略：定期定額 (Fair DCA) 的年化報酬率僅 </w:t>
      </w:r>
      <w:r w:rsidRPr="00900F71">
        <w:rPr>
          <w:rFonts w:ascii="標楷體" w:eastAsia="標楷體" w:hAnsi="標楷體"/>
          <w:sz w:val="20"/>
          <w:szCs w:val="20"/>
        </w:rPr>
        <w:t>+7.54</w:t>
      </w:r>
      <w:r w:rsidRPr="00900F71">
        <w:rPr>
          <w:rFonts w:ascii="標楷體" w:eastAsia="標楷體" w:hAnsi="標楷體" w:cs="Arial Unicode MS"/>
          <w:sz w:val="24"/>
          <w:szCs w:val="24"/>
        </w:rPr>
        <w:t>%，雖將夏普值微幅提升至 0.54，但犧牲了過多報酬。</w:t>
      </w:r>
      <w:proofErr w:type="gramStart"/>
      <w:r w:rsidRPr="00900F71">
        <w:rPr>
          <w:rFonts w:ascii="標楷體" w:eastAsia="標楷體" w:hAnsi="標楷體" w:cs="Arial Unicode MS"/>
          <w:sz w:val="24"/>
          <w:szCs w:val="24"/>
        </w:rPr>
        <w:t>此外，</w:t>
      </w:r>
      <w:proofErr w:type="gramEnd"/>
      <w:r w:rsidRPr="00900F71">
        <w:rPr>
          <w:rFonts w:ascii="標楷體" w:eastAsia="標楷體" w:hAnsi="標楷體" w:cs="Arial Unicode MS"/>
          <w:sz w:val="24"/>
          <w:szCs w:val="24"/>
        </w:rPr>
        <w:t>MCD的三組 SMA 策略年化</w:t>
      </w:r>
      <w:proofErr w:type="gramStart"/>
      <w:r w:rsidRPr="00900F71">
        <w:rPr>
          <w:rFonts w:ascii="標楷體" w:eastAsia="標楷體" w:hAnsi="標楷體" w:cs="Arial Unicode MS"/>
          <w:sz w:val="24"/>
          <w:szCs w:val="24"/>
        </w:rPr>
        <w:t>報酬皆落於</w:t>
      </w:r>
      <w:proofErr w:type="gramEnd"/>
      <w:r w:rsidRPr="00900F71">
        <w:rPr>
          <w:rFonts w:ascii="標楷體" w:eastAsia="標楷體" w:hAnsi="標楷體" w:cs="Arial Unicode MS"/>
          <w:sz w:val="24"/>
          <w:szCs w:val="24"/>
        </w:rPr>
        <w:t xml:space="preserve"> 4%~7% 左右，且最大</w:t>
      </w:r>
      <w:proofErr w:type="gramStart"/>
      <w:r w:rsidRPr="00900F71">
        <w:rPr>
          <w:rFonts w:ascii="標楷體" w:eastAsia="標楷體" w:hAnsi="標楷體" w:cs="Arial Unicode MS"/>
          <w:sz w:val="24"/>
          <w:szCs w:val="24"/>
        </w:rPr>
        <w:t>回撤依然</w:t>
      </w:r>
      <w:proofErr w:type="gramEnd"/>
      <w:r w:rsidRPr="00900F71">
        <w:rPr>
          <w:rFonts w:ascii="標楷體" w:eastAsia="標楷體" w:hAnsi="標楷體" w:cs="Arial Unicode MS"/>
          <w:sz w:val="24"/>
          <w:szCs w:val="24"/>
        </w:rPr>
        <w:t>偏高（如 SMA 100/300 最大回撤達 -51.47）。這顯示對於 MCD</w:t>
      </w:r>
      <w:proofErr w:type="gramStart"/>
      <w:r w:rsidRPr="00900F71">
        <w:rPr>
          <w:rFonts w:ascii="標楷體" w:eastAsia="標楷體" w:hAnsi="標楷體" w:cs="Arial Unicode MS"/>
          <w:sz w:val="24"/>
          <w:szCs w:val="24"/>
        </w:rPr>
        <w:t>此類標的</w:t>
      </w:r>
      <w:proofErr w:type="gramEnd"/>
      <w:r w:rsidRPr="00900F71">
        <w:rPr>
          <w:rFonts w:ascii="標楷體" w:eastAsia="標楷體" w:hAnsi="標楷體" w:cs="Arial Unicode MS"/>
          <w:sz w:val="24"/>
          <w:szCs w:val="24"/>
        </w:rPr>
        <w:t>，</w:t>
      </w:r>
      <w:proofErr w:type="gramStart"/>
      <w:r w:rsidRPr="00900F71">
        <w:rPr>
          <w:rFonts w:ascii="標楷體" w:eastAsia="標楷體" w:hAnsi="標楷體" w:cs="Arial Unicode MS"/>
          <w:sz w:val="24"/>
          <w:szCs w:val="24"/>
        </w:rPr>
        <w:t>均線交叉</w:t>
      </w:r>
      <w:proofErr w:type="gramEnd"/>
      <w:r w:rsidRPr="00900F71">
        <w:rPr>
          <w:rFonts w:ascii="標楷體" w:eastAsia="標楷體" w:hAnsi="標楷體" w:cs="Arial Unicode MS"/>
          <w:sz w:val="24"/>
          <w:szCs w:val="24"/>
        </w:rPr>
        <w:t>策略帶來的防禦效果極其有限，反覆進出市場反而侵蝕了長期獲利。</w:t>
      </w:r>
    </w:p>
    <w:p w:rsidR="00912331" w:rsidRPr="00900F71" w:rsidRDefault="00912331">
      <w:pPr>
        <w:spacing w:after="200"/>
        <w:rPr>
          <w:rFonts w:ascii="標楷體" w:eastAsia="標楷體" w:hAnsi="標楷體"/>
          <w:sz w:val="24"/>
          <w:szCs w:val="24"/>
        </w:rPr>
      </w:pPr>
    </w:p>
    <w:tbl>
      <w:tblPr>
        <w:tblStyle w:val="aa"/>
        <w:tblW w:w="9732" w:type="dxa"/>
        <w:jc w:val="center"/>
        <w:tblInd w:w="-60" w:type="dxa"/>
        <w:tblBorders>
          <w:top w:val="nil"/>
          <w:left w:val="nil"/>
          <w:bottom w:val="nil"/>
          <w:right w:val="nil"/>
          <w:insideH w:val="nil"/>
          <w:insideV w:val="nil"/>
        </w:tblBorders>
        <w:tblLayout w:type="fixed"/>
        <w:tblLook w:val="0600" w:firstRow="0" w:lastRow="0" w:firstColumn="0" w:lastColumn="0" w:noHBand="1" w:noVBand="1"/>
      </w:tblPr>
      <w:tblGrid>
        <w:gridCol w:w="811"/>
        <w:gridCol w:w="811"/>
        <w:gridCol w:w="811"/>
        <w:gridCol w:w="811"/>
        <w:gridCol w:w="811"/>
        <w:gridCol w:w="811"/>
        <w:gridCol w:w="811"/>
        <w:gridCol w:w="811"/>
        <w:gridCol w:w="811"/>
        <w:gridCol w:w="811"/>
        <w:gridCol w:w="811"/>
        <w:gridCol w:w="811"/>
      </w:tblGrid>
      <w:tr w:rsidR="00912331" w:rsidRPr="007554F9" w:rsidTr="007554F9">
        <w:trPr>
          <w:cantSplit/>
          <w:trHeight w:val="908"/>
          <w:jc w:val="center"/>
        </w:trPr>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策略</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初始資本</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總投入</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最終價值</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累計報酬</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年化報酬</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 xml:space="preserve">超額 </w:t>
            </w:r>
            <w:proofErr w:type="spellStart"/>
            <w:r w:rsidRPr="007554F9">
              <w:rPr>
                <w:rFonts w:ascii="標楷體" w:eastAsia="標楷體" w:hAnsi="標楷體" w:cs="Arial Unicode MS"/>
                <w:sz w:val="18"/>
                <w:szCs w:val="18"/>
              </w:rPr>
              <w:t>vs</w:t>
            </w:r>
            <w:proofErr w:type="spellEnd"/>
            <w:r w:rsidRPr="007554F9">
              <w:rPr>
                <w:rFonts w:ascii="標楷體" w:eastAsia="標楷體" w:hAnsi="標楷體" w:cs="Arial Unicode MS"/>
                <w:sz w:val="18"/>
                <w:szCs w:val="18"/>
              </w:rPr>
              <w:t xml:space="preserve"> SPY</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是否優於 SPY</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proofErr w:type="gramStart"/>
            <w:r w:rsidRPr="007554F9">
              <w:rPr>
                <w:rFonts w:ascii="標楷體" w:eastAsia="標楷體" w:hAnsi="標楷體" w:cs="Arial Unicode MS"/>
                <w:sz w:val="18"/>
                <w:szCs w:val="18"/>
              </w:rPr>
              <w:t>最大回撤</w:t>
            </w:r>
            <w:proofErr w:type="gramEnd"/>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波動率</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Sharpe 比率</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交易次數</w:t>
            </w:r>
          </w:p>
        </w:tc>
      </w:tr>
      <w:tr w:rsidR="00912331" w:rsidRPr="007554F9" w:rsidTr="007554F9">
        <w:trPr>
          <w:cantSplit/>
          <w:trHeight w:val="908"/>
          <w:jc w:val="center"/>
        </w:trPr>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Buy-and-Hold</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$239,145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+2291.45%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+11.02%</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+0.66%</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是</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-73.63%</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23.45%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0.47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w:t>
            </w:r>
          </w:p>
        </w:tc>
      </w:tr>
      <w:tr w:rsidR="00912331" w:rsidRPr="007554F9" w:rsidTr="007554F9">
        <w:trPr>
          <w:cantSplit/>
          <w:trHeight w:val="908"/>
          <w:jc w:val="center"/>
        </w:trPr>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Fair DCA</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$91,007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+810.07%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+7.54%</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-2.81%</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否</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-35.67%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13.98%</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0.54</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365</w:t>
            </w:r>
          </w:p>
        </w:tc>
      </w:tr>
      <w:tr w:rsidR="00912331" w:rsidRPr="007554F9" w:rsidTr="007554F9">
        <w:trPr>
          <w:cantSplit/>
          <w:trHeight w:val="908"/>
          <w:jc w:val="center"/>
        </w:trPr>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SMA 20/60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$74,787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+647.87%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+6.85%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-3.50%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否</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-59.82%</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16.54%</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0.41</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148</w:t>
            </w:r>
          </w:p>
        </w:tc>
      </w:tr>
      <w:tr w:rsidR="00912331" w:rsidRPr="007554F9" w:rsidTr="007554F9">
        <w:trPr>
          <w:cantSplit/>
          <w:trHeight w:val="908"/>
          <w:jc w:val="center"/>
        </w:trPr>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SMA 50/200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$42,622</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+326.22%</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+4.89%</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-5.46%</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否</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-55.25%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17.96%</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0.27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48</w:t>
            </w:r>
          </w:p>
        </w:tc>
      </w:tr>
      <w:tr w:rsidR="00912331" w:rsidRPr="007554F9" w:rsidTr="007554F9">
        <w:trPr>
          <w:cantSplit/>
          <w:trHeight w:val="908"/>
          <w:jc w:val="center"/>
        </w:trPr>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SMA 100/300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$10,000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$79,256</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+692.56%</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+7.05%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-3.30%</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cs="Arial Unicode MS"/>
                <w:sz w:val="18"/>
                <w:szCs w:val="18"/>
              </w:rPr>
              <w:t>否</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-51.47%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19.05%</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0.37</w:t>
            </w:r>
          </w:p>
        </w:tc>
        <w:tc>
          <w:tcPr>
            <w:tcW w:w="81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center"/>
          </w:tcPr>
          <w:p w:rsidR="00912331" w:rsidRPr="007554F9" w:rsidRDefault="00900F71" w:rsidP="00900F71">
            <w:pPr>
              <w:widowControl w:val="0"/>
              <w:jc w:val="center"/>
              <w:rPr>
                <w:rFonts w:ascii="標楷體" w:eastAsia="標楷體" w:hAnsi="標楷體"/>
                <w:sz w:val="18"/>
                <w:szCs w:val="18"/>
              </w:rPr>
            </w:pPr>
            <w:r w:rsidRPr="007554F9">
              <w:rPr>
                <w:rFonts w:ascii="標楷體" w:eastAsia="標楷體" w:hAnsi="標楷體"/>
                <w:sz w:val="18"/>
                <w:szCs w:val="18"/>
              </w:rPr>
              <w:t>23</w:t>
            </w:r>
          </w:p>
        </w:tc>
      </w:tr>
    </w:tbl>
    <w:p w:rsidR="00912331" w:rsidRPr="00900F71" w:rsidRDefault="00912331">
      <w:pPr>
        <w:spacing w:after="200"/>
        <w:rPr>
          <w:rFonts w:ascii="標楷體" w:eastAsia="標楷體" w:hAnsi="標楷體"/>
          <w:sz w:val="24"/>
          <w:szCs w:val="24"/>
        </w:rPr>
      </w:pPr>
    </w:p>
    <w:p w:rsidR="00912331" w:rsidRPr="00900F71" w:rsidRDefault="00900F71">
      <w:pPr>
        <w:spacing w:after="200"/>
        <w:ind w:left="420"/>
        <w:rPr>
          <w:rFonts w:ascii="標楷體" w:eastAsia="標楷體" w:hAnsi="標楷體"/>
          <w:sz w:val="24"/>
          <w:szCs w:val="24"/>
        </w:rPr>
      </w:pPr>
      <w:r w:rsidRPr="00900F71">
        <w:rPr>
          <w:rFonts w:ascii="標楷體" w:eastAsia="標楷體" w:hAnsi="標楷體" w:cs="Arial Unicode MS"/>
          <w:b/>
          <w:bCs/>
          <w:sz w:val="24"/>
          <w:szCs w:val="24"/>
        </w:rPr>
        <w:t xml:space="preserve">  5.2 可口可樂 (Coca-Cola, KO) </w:t>
      </w:r>
      <w:proofErr w:type="gramStart"/>
      <w:r w:rsidRPr="00900F71">
        <w:rPr>
          <w:rFonts w:ascii="標楷體" w:eastAsia="標楷體" w:hAnsi="標楷體" w:cs="Arial Unicode MS"/>
          <w:b/>
          <w:bCs/>
          <w:sz w:val="24"/>
          <w:szCs w:val="24"/>
        </w:rPr>
        <w:t>——</w:t>
      </w:r>
      <w:proofErr w:type="gramEnd"/>
      <w:r w:rsidRPr="00900F71">
        <w:rPr>
          <w:rFonts w:ascii="標楷體" w:eastAsia="標楷體" w:hAnsi="標楷體" w:cs="Arial Unicode MS"/>
          <w:b/>
          <w:bCs/>
          <w:sz w:val="24"/>
          <w:szCs w:val="24"/>
        </w:rPr>
        <w:t xml:space="preserve"> 核心防禦型</w:t>
      </w:r>
    </w:p>
    <w:p w:rsidR="00912331" w:rsidRPr="00900F71" w:rsidRDefault="00900F71">
      <w:pPr>
        <w:pBdr>
          <w:top w:val="nil"/>
          <w:left w:val="nil"/>
          <w:bottom w:val="nil"/>
          <w:right w:val="nil"/>
          <w:between w:val="nil"/>
        </w:pBdr>
        <w:spacing w:after="200"/>
        <w:ind w:left="720"/>
        <w:rPr>
          <w:rFonts w:ascii="標楷體" w:eastAsia="標楷體" w:hAnsi="標楷體"/>
          <w:sz w:val="24"/>
          <w:szCs w:val="24"/>
        </w:rPr>
      </w:pPr>
      <w:r w:rsidRPr="00900F71">
        <w:rPr>
          <w:rFonts w:ascii="標楷體" w:eastAsia="標楷體" w:hAnsi="標楷體" w:cs="Arial Unicode MS"/>
          <w:sz w:val="24"/>
          <w:szCs w:val="24"/>
        </w:rPr>
        <w:t>可口可樂在本樣本期間內，完美展現了「低報酬、低波動」的典型防禦型股票特徵，但也因此在長期財富累積上處於劣勢。</w:t>
      </w:r>
    </w:p>
    <w:p w:rsidR="00912331" w:rsidRPr="007554F9" w:rsidRDefault="00900F71" w:rsidP="007554F9">
      <w:pPr>
        <w:pStyle w:val="af4"/>
        <w:numPr>
          <w:ilvl w:val="0"/>
          <w:numId w:val="26"/>
        </w:numPr>
        <w:pBdr>
          <w:top w:val="nil"/>
          <w:left w:val="nil"/>
          <w:bottom w:val="nil"/>
          <w:right w:val="nil"/>
          <w:between w:val="nil"/>
        </w:pBdr>
        <w:ind w:leftChars="0" w:left="1418"/>
        <w:rPr>
          <w:rFonts w:ascii="標楷體" w:eastAsia="標楷體" w:hAnsi="標楷體"/>
          <w:sz w:val="24"/>
          <w:szCs w:val="24"/>
        </w:rPr>
      </w:pPr>
      <w:r w:rsidRPr="007554F9">
        <w:rPr>
          <w:rFonts w:ascii="標楷體" w:eastAsia="標楷體" w:hAnsi="標楷體" w:cs="Arial Unicode MS"/>
          <w:sz w:val="24"/>
          <w:szCs w:val="24"/>
        </w:rPr>
        <w:t>表現總結：所有針對 KO 的測試策略，其年化報酬率皆未能超越 SPY 基準。</w:t>
      </w:r>
    </w:p>
    <w:p w:rsidR="00912331" w:rsidRPr="007554F9" w:rsidRDefault="00900F71" w:rsidP="007554F9">
      <w:pPr>
        <w:pStyle w:val="af4"/>
        <w:numPr>
          <w:ilvl w:val="0"/>
          <w:numId w:val="26"/>
        </w:numPr>
        <w:pBdr>
          <w:top w:val="nil"/>
          <w:left w:val="nil"/>
          <w:bottom w:val="nil"/>
          <w:right w:val="nil"/>
          <w:between w:val="nil"/>
        </w:pBdr>
        <w:spacing w:after="200"/>
        <w:ind w:leftChars="0" w:left="1418"/>
        <w:rPr>
          <w:rFonts w:ascii="標楷體" w:eastAsia="標楷體" w:hAnsi="標楷體"/>
          <w:sz w:val="24"/>
          <w:szCs w:val="24"/>
        </w:rPr>
      </w:pPr>
      <w:r w:rsidRPr="007554F9">
        <w:rPr>
          <w:rFonts w:ascii="標楷體" w:eastAsia="標楷體" w:hAnsi="標楷體" w:cs="Arial Unicode MS"/>
          <w:sz w:val="24"/>
          <w:szCs w:val="24"/>
        </w:rPr>
        <w:t>策略對比：表現最好的依然是買入持有策略，但年化報酬僅有+7.68% (夏普值0.36)。定期定額策略進一步將年化報酬拉低至+4.85% (夏普值 0.42)。而三組 SMA 趨勢策略在 KO 上的表現最為疲弱，年化報酬率全面低於5%。這反映出對於缺乏長期爆發性成長的防禦型股票，不論是分批投入或順勢交易，皆無法創造令人</w:t>
      </w:r>
      <w:proofErr w:type="gramStart"/>
      <w:r w:rsidRPr="007554F9">
        <w:rPr>
          <w:rFonts w:ascii="標楷體" w:eastAsia="標楷體" w:hAnsi="標楷體" w:cs="Arial Unicode MS"/>
          <w:sz w:val="24"/>
          <w:szCs w:val="24"/>
        </w:rPr>
        <w:t>滿意的</w:t>
      </w:r>
      <w:proofErr w:type="gramEnd"/>
      <w:r w:rsidRPr="007554F9">
        <w:rPr>
          <w:rFonts w:ascii="標楷體" w:eastAsia="標楷體" w:hAnsi="標楷體" w:cs="Arial Unicode MS"/>
          <w:sz w:val="24"/>
          <w:szCs w:val="24"/>
        </w:rPr>
        <w:t>超額報酬。</w:t>
      </w:r>
    </w:p>
    <w:p w:rsidR="00912331" w:rsidRPr="00900F71" w:rsidRDefault="00912331">
      <w:pPr>
        <w:pBdr>
          <w:top w:val="nil"/>
          <w:left w:val="nil"/>
          <w:bottom w:val="nil"/>
          <w:right w:val="nil"/>
          <w:between w:val="nil"/>
        </w:pBdr>
        <w:spacing w:after="200"/>
        <w:rPr>
          <w:rFonts w:ascii="標楷體" w:eastAsia="標楷體" w:hAnsi="標楷體"/>
          <w:sz w:val="24"/>
          <w:szCs w:val="24"/>
        </w:rPr>
      </w:pPr>
    </w:p>
    <w:tbl>
      <w:tblPr>
        <w:tblStyle w:val="ab"/>
        <w:tblW w:w="9025" w:type="dxa"/>
        <w:jc w:val="center"/>
        <w:tblInd w:w="-60" w:type="dxa"/>
        <w:tblBorders>
          <w:top w:val="nil"/>
          <w:left w:val="nil"/>
          <w:bottom w:val="nil"/>
          <w:right w:val="nil"/>
          <w:insideH w:val="nil"/>
          <w:insideV w:val="nil"/>
        </w:tblBorders>
        <w:tblLayout w:type="fixed"/>
        <w:tblLook w:val="0600" w:firstRow="0" w:lastRow="0" w:firstColumn="0" w:lastColumn="0" w:noHBand="1" w:noVBand="1"/>
      </w:tblPr>
      <w:tblGrid>
        <w:gridCol w:w="753"/>
        <w:gridCol w:w="752"/>
        <w:gridCol w:w="752"/>
        <w:gridCol w:w="752"/>
        <w:gridCol w:w="752"/>
        <w:gridCol w:w="752"/>
        <w:gridCol w:w="752"/>
        <w:gridCol w:w="752"/>
        <w:gridCol w:w="752"/>
        <w:gridCol w:w="752"/>
        <w:gridCol w:w="752"/>
        <w:gridCol w:w="752"/>
      </w:tblGrid>
      <w:tr w:rsidR="00912331" w:rsidRPr="007554F9" w:rsidTr="007554F9">
        <w:trPr>
          <w:cantSplit/>
          <w:trHeight w:val="360"/>
          <w:jc w:val="center"/>
        </w:trPr>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策略</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初始資本</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總投入</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最終價值</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累計報酬</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年化報酬</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 xml:space="preserve">超額 </w:t>
            </w:r>
            <w:proofErr w:type="spellStart"/>
            <w:r w:rsidRPr="007554F9">
              <w:rPr>
                <w:rFonts w:ascii="標楷體" w:eastAsia="標楷體" w:hAnsi="標楷體" w:cs="Arial Unicode MS"/>
                <w:sz w:val="16"/>
                <w:szCs w:val="16"/>
              </w:rPr>
              <w:t>vs</w:t>
            </w:r>
            <w:proofErr w:type="spellEnd"/>
            <w:r w:rsidRPr="007554F9">
              <w:rPr>
                <w:rFonts w:ascii="標楷體" w:eastAsia="標楷體" w:hAnsi="標楷體" w:cs="Arial Unicode MS"/>
                <w:sz w:val="16"/>
                <w:szCs w:val="16"/>
              </w:rPr>
              <w:t xml:space="preserve"> SPY</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是否優於 SPY</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proofErr w:type="gramStart"/>
            <w:r w:rsidRPr="007554F9">
              <w:rPr>
                <w:rFonts w:ascii="標楷體" w:eastAsia="標楷體" w:hAnsi="標楷體" w:cs="Arial Unicode MS"/>
                <w:sz w:val="16"/>
                <w:szCs w:val="16"/>
              </w:rPr>
              <w:t>最大回撤</w:t>
            </w:r>
            <w:proofErr w:type="gramEnd"/>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波動率</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Sharpe 比率</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交易次數</w:t>
            </w:r>
          </w:p>
        </w:tc>
      </w:tr>
      <w:tr w:rsidR="00912331" w:rsidRPr="007554F9" w:rsidTr="007554F9">
        <w:trPr>
          <w:cantSplit/>
          <w:trHeight w:val="360"/>
          <w:jc w:val="center"/>
        </w:trPr>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Buy-and-Hold</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$94,624</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+846.24%</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+7.68%</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-2.67%</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否</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-54.96%</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21.58%</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0.36</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w:t>
            </w:r>
          </w:p>
        </w:tc>
      </w:tr>
      <w:tr w:rsidR="00912331" w:rsidRPr="007554F9" w:rsidTr="007554F9">
        <w:trPr>
          <w:cantSplit/>
          <w:trHeight w:val="360"/>
          <w:jc w:val="center"/>
        </w:trPr>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Fair DCA</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$42,178</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+321.78%</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+4.85%</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-5.50%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否</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-34.07%</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11.58%</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0.42</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365</w:t>
            </w:r>
          </w:p>
        </w:tc>
      </w:tr>
      <w:tr w:rsidR="00912331" w:rsidRPr="007554F9" w:rsidTr="007554F9">
        <w:trPr>
          <w:cantSplit/>
          <w:trHeight w:val="360"/>
          <w:jc w:val="center"/>
        </w:trPr>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SMA 20/60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$21,435</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+114.35%</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+2.54%</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-7.81%</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否</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-42.52%</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14.76%</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0.17</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149</w:t>
            </w:r>
          </w:p>
        </w:tc>
      </w:tr>
      <w:tr w:rsidR="00912331" w:rsidRPr="007554F9" w:rsidTr="007554F9">
        <w:trPr>
          <w:cantSplit/>
          <w:trHeight w:val="360"/>
          <w:jc w:val="center"/>
        </w:trPr>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SMA 50/200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$17,963</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+79.63%</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+1.95%</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-8.41%</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否</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-62.74%</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15.61%</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0.12</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49</w:t>
            </w:r>
          </w:p>
        </w:tc>
      </w:tr>
      <w:tr w:rsidR="00912331" w:rsidRPr="007554F9" w:rsidTr="007554F9">
        <w:trPr>
          <w:cantSplit/>
          <w:trHeight w:val="360"/>
          <w:jc w:val="center"/>
        </w:trPr>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SMA 100/300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$10,000</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$28,223</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+182.23%</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+3.47%</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-6.88%</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cs="Arial Unicode MS"/>
                <w:sz w:val="16"/>
                <w:szCs w:val="16"/>
              </w:rPr>
              <w:t>否</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-48.47%</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16.27%</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0.21</w:t>
            </w:r>
          </w:p>
        </w:tc>
        <w:tc>
          <w:tcPr>
            <w:tcW w:w="7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7554F9" w:rsidRDefault="00900F71" w:rsidP="007554F9">
            <w:pPr>
              <w:widowControl w:val="0"/>
              <w:jc w:val="center"/>
              <w:rPr>
                <w:rFonts w:ascii="標楷體" w:eastAsia="標楷體" w:hAnsi="標楷體"/>
                <w:sz w:val="16"/>
                <w:szCs w:val="16"/>
              </w:rPr>
            </w:pPr>
            <w:r w:rsidRPr="007554F9">
              <w:rPr>
                <w:rFonts w:ascii="標楷體" w:eastAsia="標楷體" w:hAnsi="標楷體"/>
                <w:sz w:val="16"/>
                <w:szCs w:val="16"/>
              </w:rPr>
              <w:t>27</w:t>
            </w:r>
          </w:p>
        </w:tc>
      </w:tr>
    </w:tbl>
    <w:p w:rsidR="00912331" w:rsidRPr="00900F71" w:rsidRDefault="00912331">
      <w:pPr>
        <w:pBdr>
          <w:top w:val="nil"/>
          <w:left w:val="nil"/>
          <w:bottom w:val="nil"/>
          <w:right w:val="nil"/>
          <w:between w:val="nil"/>
        </w:pBdr>
        <w:spacing w:after="200"/>
        <w:rPr>
          <w:rFonts w:ascii="標楷體" w:eastAsia="標楷體" w:hAnsi="標楷體"/>
          <w:sz w:val="24"/>
          <w:szCs w:val="24"/>
        </w:rPr>
      </w:pPr>
    </w:p>
    <w:p w:rsidR="00912331" w:rsidRPr="00900F71" w:rsidRDefault="00900F71">
      <w:pPr>
        <w:spacing w:after="200"/>
        <w:ind w:left="420"/>
        <w:rPr>
          <w:rFonts w:ascii="標楷體" w:eastAsia="標楷體" w:hAnsi="標楷體"/>
          <w:sz w:val="24"/>
          <w:szCs w:val="24"/>
        </w:rPr>
      </w:pPr>
      <w:r w:rsidRPr="00900F71">
        <w:rPr>
          <w:rFonts w:ascii="標楷體" w:eastAsia="標楷體" w:hAnsi="標楷體" w:cs="Arial Unicode MS"/>
          <w:b/>
          <w:bCs/>
          <w:sz w:val="24"/>
          <w:szCs w:val="24"/>
        </w:rPr>
        <w:t xml:space="preserve">  5.3 蘋果公司 (Apple, AAPL) </w:t>
      </w:r>
      <w:proofErr w:type="gramStart"/>
      <w:r w:rsidRPr="00900F71">
        <w:rPr>
          <w:rFonts w:ascii="標楷體" w:eastAsia="標楷體" w:hAnsi="標楷體" w:cs="Arial Unicode MS"/>
          <w:b/>
          <w:bCs/>
          <w:sz w:val="24"/>
          <w:szCs w:val="24"/>
        </w:rPr>
        <w:t>——</w:t>
      </w:r>
      <w:proofErr w:type="gramEnd"/>
      <w:r w:rsidRPr="00900F71">
        <w:rPr>
          <w:rFonts w:ascii="標楷體" w:eastAsia="標楷體" w:hAnsi="標楷體" w:cs="Arial Unicode MS"/>
          <w:b/>
          <w:bCs/>
          <w:sz w:val="24"/>
          <w:szCs w:val="24"/>
        </w:rPr>
        <w:t xml:space="preserve"> 高成長科技型</w:t>
      </w:r>
    </w:p>
    <w:p w:rsidR="00912331" w:rsidRPr="00900F71" w:rsidRDefault="00900F71">
      <w:pPr>
        <w:spacing w:after="200"/>
        <w:ind w:left="720"/>
        <w:rPr>
          <w:rFonts w:ascii="標楷體" w:eastAsia="標楷體" w:hAnsi="標楷體"/>
          <w:sz w:val="24"/>
          <w:szCs w:val="24"/>
        </w:rPr>
      </w:pPr>
      <w:r w:rsidRPr="00900F71">
        <w:rPr>
          <w:rFonts w:ascii="標楷體" w:eastAsia="標楷體" w:hAnsi="標楷體" w:cs="Arial Unicode MS"/>
          <w:sz w:val="24"/>
          <w:szCs w:val="24"/>
        </w:rPr>
        <w:t>蘋果公司是本研究樣本中成長動能最強勁的標的，其強勢的長期上漲趨勢使其成為所有策略的極佳載體。</w:t>
      </w:r>
    </w:p>
    <w:p w:rsidR="00912331" w:rsidRPr="000719D2" w:rsidRDefault="00900F71" w:rsidP="000719D2">
      <w:pPr>
        <w:pStyle w:val="af4"/>
        <w:numPr>
          <w:ilvl w:val="0"/>
          <w:numId w:val="27"/>
        </w:numPr>
        <w:ind w:leftChars="0" w:left="1560"/>
        <w:rPr>
          <w:rFonts w:ascii="標楷體" w:eastAsia="標楷體" w:hAnsi="標楷體"/>
          <w:sz w:val="24"/>
          <w:szCs w:val="24"/>
        </w:rPr>
      </w:pPr>
      <w:r w:rsidRPr="000719D2">
        <w:rPr>
          <w:rFonts w:ascii="標楷體" w:eastAsia="標楷體" w:hAnsi="標楷體" w:cs="Arial Unicode MS"/>
          <w:sz w:val="24"/>
          <w:szCs w:val="24"/>
        </w:rPr>
        <w:t>全面勝出：AAPL 是唯一</w:t>
      </w:r>
      <w:proofErr w:type="gramStart"/>
      <w:r w:rsidRPr="000719D2">
        <w:rPr>
          <w:rFonts w:ascii="標楷體" w:eastAsia="標楷體" w:hAnsi="標楷體" w:cs="Arial Unicode MS"/>
          <w:sz w:val="24"/>
          <w:szCs w:val="24"/>
        </w:rPr>
        <w:t>一</w:t>
      </w:r>
      <w:proofErr w:type="gramEnd"/>
      <w:r w:rsidRPr="000719D2">
        <w:rPr>
          <w:rFonts w:ascii="標楷體" w:eastAsia="標楷體" w:hAnsi="標楷體" w:cs="Arial Unicode MS"/>
          <w:sz w:val="24"/>
          <w:szCs w:val="24"/>
        </w:rPr>
        <w:t>檔「全部五種策略皆大幅超越 SPY」的股票。</w:t>
      </w:r>
    </w:p>
    <w:p w:rsidR="00912331" w:rsidRPr="000719D2" w:rsidRDefault="00900F71" w:rsidP="000719D2">
      <w:pPr>
        <w:pStyle w:val="af4"/>
        <w:numPr>
          <w:ilvl w:val="0"/>
          <w:numId w:val="27"/>
        </w:numPr>
        <w:ind w:leftChars="0" w:left="1560"/>
        <w:rPr>
          <w:rFonts w:ascii="標楷體" w:eastAsia="標楷體" w:hAnsi="標楷體"/>
          <w:sz w:val="24"/>
          <w:szCs w:val="24"/>
        </w:rPr>
      </w:pPr>
      <w:r w:rsidRPr="000719D2">
        <w:rPr>
          <w:rFonts w:ascii="標楷體" w:eastAsia="標楷體" w:hAnsi="標楷體" w:cs="Arial Unicode MS"/>
          <w:sz w:val="24"/>
          <w:szCs w:val="24"/>
        </w:rPr>
        <w:t>績效亮點：其買入持有策略創造了高達+26.44% 的年化報酬率與 +124253.99% 的累積報酬率 (夏普值 0.63)，為全樣本之冠。</w:t>
      </w:r>
    </w:p>
    <w:p w:rsidR="00912331" w:rsidRPr="000719D2" w:rsidRDefault="00900F71" w:rsidP="000719D2">
      <w:pPr>
        <w:pStyle w:val="af4"/>
        <w:numPr>
          <w:ilvl w:val="0"/>
          <w:numId w:val="27"/>
        </w:numPr>
        <w:spacing w:after="200"/>
        <w:ind w:leftChars="0" w:left="1560"/>
        <w:rPr>
          <w:rFonts w:ascii="標楷體" w:eastAsia="標楷體" w:hAnsi="標楷體"/>
          <w:sz w:val="24"/>
          <w:szCs w:val="24"/>
        </w:rPr>
      </w:pPr>
      <w:r w:rsidRPr="000719D2">
        <w:rPr>
          <w:rFonts w:ascii="標楷體" w:eastAsia="標楷體" w:hAnsi="標楷體" w:cs="Arial Unicode MS"/>
          <w:sz w:val="24"/>
          <w:szCs w:val="24"/>
        </w:rPr>
        <w:t>風險控管表現：值得注意的是，定期定額 (Fair DCA) 策略在 AAPL 上展現了極佳的風險調整後報酬，其夏普值高達0.82，年化報酬率亦保持在+21.53% 的高水準。</w:t>
      </w:r>
      <w:proofErr w:type="gramStart"/>
      <w:r w:rsidRPr="000719D2">
        <w:rPr>
          <w:rFonts w:ascii="標楷體" w:eastAsia="標楷體" w:hAnsi="標楷體" w:cs="Arial Unicode MS"/>
          <w:sz w:val="24"/>
          <w:szCs w:val="24"/>
        </w:rPr>
        <w:t>此外，</w:t>
      </w:r>
      <w:proofErr w:type="gramEnd"/>
      <w:r w:rsidRPr="000719D2">
        <w:rPr>
          <w:rFonts w:ascii="標楷體" w:eastAsia="標楷體" w:hAnsi="標楷體" w:cs="Arial Unicode MS"/>
          <w:sz w:val="24"/>
          <w:szCs w:val="24"/>
        </w:rPr>
        <w:t>三組 SMA 策略的年化報酬率均高達 17% 以上（SMA 100/300 達+20.75%）。對於此類長期多頭標的，任何形式的投資暴露都能帶來豐厚的回報，但一次性全額投入的 Buy-and-Hold優勢依然最為明顯。</w:t>
      </w:r>
    </w:p>
    <w:tbl>
      <w:tblPr>
        <w:tblStyle w:val="ac"/>
        <w:tblW w:w="9000" w:type="dxa"/>
        <w:jc w:val="center"/>
        <w:tblInd w:w="-60" w:type="dxa"/>
        <w:tblBorders>
          <w:top w:val="nil"/>
          <w:left w:val="nil"/>
          <w:bottom w:val="nil"/>
          <w:right w:val="nil"/>
          <w:insideH w:val="nil"/>
          <w:insideV w:val="nil"/>
        </w:tblBorders>
        <w:tblLayout w:type="fixed"/>
        <w:tblLook w:val="0600" w:firstRow="0" w:lastRow="0" w:firstColumn="0" w:lastColumn="0" w:noHBand="1" w:noVBand="1"/>
      </w:tblPr>
      <w:tblGrid>
        <w:gridCol w:w="750"/>
        <w:gridCol w:w="750"/>
        <w:gridCol w:w="750"/>
        <w:gridCol w:w="750"/>
        <w:gridCol w:w="750"/>
        <w:gridCol w:w="750"/>
        <w:gridCol w:w="750"/>
        <w:gridCol w:w="750"/>
        <w:gridCol w:w="750"/>
        <w:gridCol w:w="750"/>
        <w:gridCol w:w="750"/>
        <w:gridCol w:w="750"/>
      </w:tblGrid>
      <w:tr w:rsidR="00912331" w:rsidRPr="000719D2" w:rsidTr="000719D2">
        <w:trPr>
          <w:trHeight w:val="898"/>
          <w:jc w:val="center"/>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策略</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初始資本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總投入</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最終價值</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累計報酬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年化報酬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 xml:space="preserve">超額 </w:t>
            </w:r>
            <w:proofErr w:type="spellStart"/>
            <w:r w:rsidRPr="000719D2">
              <w:rPr>
                <w:rFonts w:ascii="標楷體" w:eastAsia="標楷體" w:hAnsi="標楷體" w:cs="Arial Unicode MS"/>
                <w:sz w:val="16"/>
                <w:szCs w:val="16"/>
              </w:rPr>
              <w:t>vs</w:t>
            </w:r>
            <w:proofErr w:type="spellEnd"/>
            <w:r w:rsidRPr="000719D2">
              <w:rPr>
                <w:rFonts w:ascii="標楷體" w:eastAsia="標楷體" w:hAnsi="標楷體" w:cs="Arial Unicode MS"/>
                <w:sz w:val="16"/>
                <w:szCs w:val="16"/>
              </w:rPr>
              <w:t xml:space="preserve"> SPY</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是否優於 SPY</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proofErr w:type="gramStart"/>
            <w:r w:rsidRPr="000719D2">
              <w:rPr>
                <w:rFonts w:ascii="標楷體" w:eastAsia="標楷體" w:hAnsi="標楷體" w:cs="Arial Unicode MS"/>
                <w:sz w:val="16"/>
                <w:szCs w:val="16"/>
              </w:rPr>
              <w:t>最大回撤</w:t>
            </w:r>
            <w:proofErr w:type="gramEnd"/>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波動率</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Sharpe 比率</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交易次數</w:t>
            </w:r>
          </w:p>
        </w:tc>
      </w:tr>
      <w:tr w:rsidR="00912331" w:rsidRPr="000719D2" w:rsidTr="000719D2">
        <w:trPr>
          <w:trHeight w:val="898"/>
          <w:jc w:val="center"/>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Buy-and-Hold</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$12,435,399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+124253.99%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+26.44%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+16.09%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-81.80%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41.77%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0.63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w:t>
            </w:r>
          </w:p>
        </w:tc>
      </w:tr>
      <w:tr w:rsidR="00912331" w:rsidRPr="000719D2" w:rsidTr="000719D2">
        <w:trPr>
          <w:trHeight w:val="898"/>
          <w:jc w:val="center"/>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Fair DCA</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$3,733,430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+37234.30%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+21.53%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+11.18%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-56.37%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26.36%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0.82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365</w:t>
            </w:r>
          </w:p>
        </w:tc>
      </w:tr>
      <w:tr w:rsidR="00912331" w:rsidRPr="000719D2" w:rsidTr="000719D2">
        <w:trPr>
          <w:trHeight w:val="898"/>
          <w:jc w:val="center"/>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SMA 20/60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$1,465,076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+14550.76%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+17.84%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+7.49%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-78.53%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31.69%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0.56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131</w:t>
            </w:r>
          </w:p>
        </w:tc>
      </w:tr>
      <w:tr w:rsidR="00912331" w:rsidRPr="000719D2" w:rsidTr="000719D2">
        <w:trPr>
          <w:trHeight w:val="898"/>
          <w:jc w:val="center"/>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SMA 50/200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$2,146,879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+21368.79%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+19.33%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+8.98%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-62.24%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31.15%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0.62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33</w:t>
            </w:r>
          </w:p>
        </w:tc>
      </w:tr>
      <w:tr w:rsidR="00912331" w:rsidRPr="000719D2" w:rsidTr="000719D2">
        <w:trPr>
          <w:trHeight w:val="898"/>
          <w:jc w:val="center"/>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SMA 100/300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$3,071,032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+30610.32%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+20.75%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+10.40%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cs="Arial Unicode MS"/>
                <w:sz w:val="16"/>
                <w:szCs w:val="16"/>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-84.37%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34.33%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0.60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6"/>
                <w:szCs w:val="16"/>
              </w:rPr>
            </w:pPr>
            <w:r w:rsidRPr="000719D2">
              <w:rPr>
                <w:rFonts w:ascii="標楷體" w:eastAsia="標楷體" w:hAnsi="標楷體"/>
                <w:sz w:val="16"/>
                <w:szCs w:val="16"/>
              </w:rPr>
              <w:t>19</w:t>
            </w:r>
          </w:p>
        </w:tc>
      </w:tr>
    </w:tbl>
    <w:p w:rsidR="00912331" w:rsidRPr="00900F71" w:rsidRDefault="00912331">
      <w:pPr>
        <w:spacing w:after="200"/>
        <w:rPr>
          <w:rFonts w:ascii="標楷體" w:eastAsia="標楷體" w:hAnsi="標楷體"/>
          <w:sz w:val="24"/>
          <w:szCs w:val="24"/>
        </w:rPr>
      </w:pPr>
    </w:p>
    <w:p w:rsidR="00912331" w:rsidRPr="00900F71" w:rsidRDefault="00900F71">
      <w:pPr>
        <w:spacing w:after="200"/>
        <w:ind w:left="420"/>
        <w:rPr>
          <w:rFonts w:ascii="標楷體" w:eastAsia="標楷體" w:hAnsi="標楷體"/>
          <w:sz w:val="24"/>
          <w:szCs w:val="24"/>
        </w:rPr>
      </w:pPr>
      <w:r w:rsidRPr="00900F71">
        <w:rPr>
          <w:rFonts w:ascii="標楷體" w:eastAsia="標楷體" w:hAnsi="標楷體" w:cs="Arial Unicode MS"/>
          <w:b/>
          <w:bCs/>
          <w:sz w:val="24"/>
          <w:szCs w:val="24"/>
        </w:rPr>
        <w:t xml:space="preserve">  5.4 微軟 (Microsoft, MSFT) </w:t>
      </w:r>
      <w:proofErr w:type="gramStart"/>
      <w:r w:rsidRPr="00900F71">
        <w:rPr>
          <w:rFonts w:ascii="標楷體" w:eastAsia="標楷體" w:hAnsi="標楷體" w:cs="Arial Unicode MS"/>
          <w:b/>
          <w:bCs/>
          <w:sz w:val="24"/>
          <w:szCs w:val="24"/>
        </w:rPr>
        <w:t>——</w:t>
      </w:r>
      <w:proofErr w:type="gramEnd"/>
      <w:r w:rsidRPr="00900F71">
        <w:rPr>
          <w:rFonts w:ascii="標楷體" w:eastAsia="標楷體" w:hAnsi="標楷體" w:cs="Arial Unicode MS"/>
          <w:b/>
          <w:bCs/>
          <w:sz w:val="24"/>
          <w:szCs w:val="24"/>
        </w:rPr>
        <w:t xml:space="preserve"> 穩健科技巨頭</w:t>
      </w:r>
    </w:p>
    <w:p w:rsidR="00912331" w:rsidRPr="00900F71" w:rsidRDefault="00900F71">
      <w:pPr>
        <w:spacing w:after="200"/>
        <w:ind w:left="708"/>
        <w:rPr>
          <w:rFonts w:ascii="標楷體" w:eastAsia="標楷體" w:hAnsi="標楷體"/>
          <w:sz w:val="24"/>
          <w:szCs w:val="24"/>
        </w:rPr>
      </w:pPr>
      <w:r w:rsidRPr="00900F71">
        <w:rPr>
          <w:rFonts w:ascii="標楷體" w:eastAsia="標楷體" w:hAnsi="標楷體" w:cs="Arial Unicode MS"/>
          <w:sz w:val="24"/>
          <w:szCs w:val="24"/>
        </w:rPr>
        <w:t>微軟在經歷科技泡沫與後續的轉型期中，展現了強大的韌性，其部分策略成功超越了市場大盤。</w:t>
      </w:r>
    </w:p>
    <w:p w:rsidR="00912331" w:rsidRPr="000719D2" w:rsidRDefault="00900F71" w:rsidP="000719D2">
      <w:pPr>
        <w:pStyle w:val="af4"/>
        <w:numPr>
          <w:ilvl w:val="0"/>
          <w:numId w:val="28"/>
        </w:numPr>
        <w:pBdr>
          <w:top w:val="nil"/>
          <w:left w:val="nil"/>
          <w:bottom w:val="nil"/>
          <w:right w:val="nil"/>
          <w:between w:val="nil"/>
        </w:pBdr>
        <w:ind w:leftChars="0" w:hanging="403"/>
        <w:rPr>
          <w:rFonts w:ascii="標楷體" w:eastAsia="標楷體" w:hAnsi="標楷體"/>
          <w:sz w:val="24"/>
          <w:szCs w:val="24"/>
        </w:rPr>
      </w:pPr>
      <w:r w:rsidRPr="000719D2">
        <w:rPr>
          <w:rFonts w:ascii="標楷體" w:eastAsia="標楷體" w:hAnsi="標楷體" w:cs="Arial Unicode MS"/>
          <w:sz w:val="24"/>
          <w:szCs w:val="24"/>
        </w:rPr>
        <w:t xml:space="preserve">最佳策略：買入持有策略依然為最優解，年化報酬率達 </w:t>
      </w:r>
      <w:r w:rsidRPr="000719D2">
        <w:rPr>
          <w:rFonts w:ascii="標楷體" w:eastAsia="標楷體" w:hAnsi="標楷體"/>
          <w:sz w:val="20"/>
          <w:szCs w:val="20"/>
        </w:rPr>
        <w:t>+17.14</w:t>
      </w:r>
      <w:r w:rsidRPr="000719D2">
        <w:rPr>
          <w:rFonts w:ascii="標楷體" w:eastAsia="標楷體" w:hAnsi="標楷體" w:cs="Arial Unicode MS"/>
          <w:sz w:val="24"/>
          <w:szCs w:val="24"/>
        </w:rPr>
        <w:t>% (夏普值 0.56)，顯著超越 SPY。</w:t>
      </w:r>
    </w:p>
    <w:p w:rsidR="00912331" w:rsidRPr="000719D2" w:rsidRDefault="00900F71" w:rsidP="000719D2">
      <w:pPr>
        <w:pStyle w:val="af4"/>
        <w:numPr>
          <w:ilvl w:val="0"/>
          <w:numId w:val="28"/>
        </w:numPr>
        <w:pBdr>
          <w:top w:val="nil"/>
          <w:left w:val="nil"/>
          <w:bottom w:val="nil"/>
          <w:right w:val="nil"/>
          <w:between w:val="nil"/>
        </w:pBdr>
        <w:spacing w:after="200"/>
        <w:ind w:leftChars="0" w:hanging="403"/>
        <w:rPr>
          <w:rFonts w:ascii="標楷體" w:eastAsia="標楷體" w:hAnsi="標楷體"/>
          <w:sz w:val="24"/>
          <w:szCs w:val="24"/>
        </w:rPr>
      </w:pPr>
      <w:r w:rsidRPr="000719D2">
        <w:rPr>
          <w:rFonts w:ascii="標楷體" w:eastAsia="標楷體" w:hAnsi="標楷體" w:cs="Arial Unicode MS"/>
          <w:sz w:val="24"/>
          <w:szCs w:val="24"/>
        </w:rPr>
        <w:t>中</w:t>
      </w:r>
      <w:proofErr w:type="gramStart"/>
      <w:r w:rsidRPr="000719D2">
        <w:rPr>
          <w:rFonts w:ascii="標楷體" w:eastAsia="標楷體" w:hAnsi="標楷體" w:cs="Arial Unicode MS"/>
          <w:sz w:val="24"/>
          <w:szCs w:val="24"/>
        </w:rPr>
        <w:t>長期均線的</w:t>
      </w:r>
      <w:proofErr w:type="gramEnd"/>
      <w:r w:rsidRPr="000719D2">
        <w:rPr>
          <w:rFonts w:ascii="標楷體" w:eastAsia="標楷體" w:hAnsi="標楷體" w:cs="Arial Unicode MS"/>
          <w:sz w:val="24"/>
          <w:szCs w:val="24"/>
        </w:rPr>
        <w:t>有效性：MSFT 是少數能透過</w:t>
      </w:r>
      <w:proofErr w:type="gramStart"/>
      <w:r w:rsidRPr="000719D2">
        <w:rPr>
          <w:rFonts w:ascii="標楷體" w:eastAsia="標楷體" w:hAnsi="標楷體" w:cs="Arial Unicode MS"/>
          <w:sz w:val="24"/>
          <w:szCs w:val="24"/>
        </w:rPr>
        <w:t>特定均線策略</w:t>
      </w:r>
      <w:proofErr w:type="gramEnd"/>
      <w:r w:rsidRPr="000719D2">
        <w:rPr>
          <w:rFonts w:ascii="標楷體" w:eastAsia="標楷體" w:hAnsi="標楷體" w:cs="Arial Unicode MS"/>
          <w:sz w:val="24"/>
          <w:szCs w:val="24"/>
        </w:rPr>
        <w:t>擊敗大盤的標的。其「SMA 50/200」策略取得了 +11.34% 的年化報酬(</w:t>
      </w:r>
      <w:proofErr w:type="gramStart"/>
      <w:r w:rsidRPr="000719D2">
        <w:rPr>
          <w:rFonts w:ascii="標楷體" w:eastAsia="標楷體" w:hAnsi="標楷體" w:cs="Arial Unicode MS"/>
          <w:sz w:val="24"/>
          <w:szCs w:val="24"/>
        </w:rPr>
        <w:t>夏普值</w:t>
      </w:r>
      <w:proofErr w:type="gramEnd"/>
      <w:r w:rsidRPr="000719D2">
        <w:rPr>
          <w:rFonts w:ascii="標楷體" w:eastAsia="標楷體" w:hAnsi="標楷體" w:cs="Arial Unicode MS"/>
          <w:sz w:val="24"/>
          <w:szCs w:val="24"/>
        </w:rPr>
        <w:t xml:space="preserve"> 0.5)，不僅超越了 SPY ，亦勝過了定期定額以及其他週期</w:t>
      </w:r>
      <w:proofErr w:type="gramStart"/>
      <w:r w:rsidRPr="000719D2">
        <w:rPr>
          <w:rFonts w:ascii="標楷體" w:eastAsia="標楷體" w:hAnsi="標楷體" w:cs="Arial Unicode MS"/>
          <w:sz w:val="24"/>
          <w:szCs w:val="24"/>
        </w:rPr>
        <w:t>的均線策略</w:t>
      </w:r>
      <w:proofErr w:type="gramEnd"/>
      <w:r w:rsidRPr="000719D2">
        <w:rPr>
          <w:rFonts w:ascii="標楷體" w:eastAsia="標楷體" w:hAnsi="標楷體" w:cs="Arial Unicode MS"/>
          <w:sz w:val="24"/>
          <w:szCs w:val="24"/>
        </w:rPr>
        <w:t xml:space="preserve"> (SMA 100/300 為 +9.17%，SMA20/60 為 +8.51%)。這顯示在 MSFT 的歷史走勢中，中長期</w:t>
      </w:r>
      <w:proofErr w:type="gramStart"/>
      <w:r w:rsidRPr="000719D2">
        <w:rPr>
          <w:rFonts w:ascii="標楷體" w:eastAsia="標楷體" w:hAnsi="標楷體" w:cs="Arial Unicode MS"/>
          <w:sz w:val="24"/>
          <w:szCs w:val="24"/>
        </w:rPr>
        <w:t>的均線參數</w:t>
      </w:r>
      <w:proofErr w:type="gramEnd"/>
      <w:r w:rsidRPr="000719D2">
        <w:rPr>
          <w:rFonts w:ascii="標楷體" w:eastAsia="標楷體" w:hAnsi="標楷體" w:cs="Arial Unicode MS"/>
          <w:sz w:val="24"/>
          <w:szCs w:val="24"/>
        </w:rPr>
        <w:t>能較好地捕捉其趨勢波段。</w:t>
      </w:r>
    </w:p>
    <w:p w:rsidR="00912331" w:rsidRPr="00900F71" w:rsidRDefault="00912331">
      <w:pPr>
        <w:pBdr>
          <w:top w:val="nil"/>
          <w:left w:val="nil"/>
          <w:bottom w:val="nil"/>
          <w:right w:val="nil"/>
          <w:between w:val="nil"/>
        </w:pBdr>
        <w:spacing w:after="200"/>
        <w:rPr>
          <w:rFonts w:ascii="標楷體" w:eastAsia="標楷體" w:hAnsi="標楷體"/>
          <w:sz w:val="24"/>
          <w:szCs w:val="24"/>
        </w:rPr>
      </w:pPr>
    </w:p>
    <w:tbl>
      <w:tblPr>
        <w:tblStyle w:val="ad"/>
        <w:tblW w:w="900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750"/>
        <w:gridCol w:w="750"/>
        <w:gridCol w:w="750"/>
        <w:gridCol w:w="750"/>
        <w:gridCol w:w="750"/>
        <w:gridCol w:w="750"/>
        <w:gridCol w:w="750"/>
        <w:gridCol w:w="750"/>
        <w:gridCol w:w="750"/>
        <w:gridCol w:w="750"/>
        <w:gridCol w:w="750"/>
        <w:gridCol w:w="750"/>
      </w:tblGrid>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策略</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初始資本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總投入</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最終價值</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累計報酬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年化報酬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 xml:space="preserve">超額 </w:t>
            </w:r>
            <w:proofErr w:type="spellStart"/>
            <w:r w:rsidRPr="000719D2">
              <w:rPr>
                <w:rFonts w:ascii="標楷體" w:eastAsia="標楷體" w:hAnsi="標楷體" w:cs="Arial Unicode MS"/>
                <w:sz w:val="18"/>
                <w:szCs w:val="18"/>
              </w:rPr>
              <w:t>vs</w:t>
            </w:r>
            <w:proofErr w:type="spellEnd"/>
            <w:r w:rsidRPr="000719D2">
              <w:rPr>
                <w:rFonts w:ascii="標楷體" w:eastAsia="標楷體" w:hAnsi="標楷體" w:cs="Arial Unicode MS"/>
                <w:sz w:val="18"/>
                <w:szCs w:val="18"/>
              </w:rPr>
              <w:t xml:space="preserve"> SPY</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是否優於 SPY</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proofErr w:type="gramStart"/>
            <w:r w:rsidRPr="000719D2">
              <w:rPr>
                <w:rFonts w:ascii="標楷體" w:eastAsia="標楷體" w:hAnsi="標楷體" w:cs="Arial Unicode MS"/>
                <w:sz w:val="18"/>
                <w:szCs w:val="18"/>
              </w:rPr>
              <w:t>最大回撤</w:t>
            </w:r>
            <w:proofErr w:type="gramEnd"/>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波動率</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Sharpe 比率</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交易次數</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Buy-and-Hold</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$1,220,984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+12109.84%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+17.14%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+6.79%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-69.39%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30.73%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0.56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Fair DCA</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$180,861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+1708.61%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-0.35%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否</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-36.82%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18.67%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0.54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365</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SMA 20/60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$119,439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+1094.39%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+8.51%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-1.84%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否</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-67.39%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21.21%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0.40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145</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SMA 50/200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$261,156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+2511.56%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+11.34%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+0.99%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-73.12%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22.84%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0.50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42</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SMA 100/300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$143,851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+1338.51%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+9.17%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-1.18%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否</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-69.84%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23.50%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0.39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28</w:t>
            </w:r>
          </w:p>
        </w:tc>
      </w:tr>
    </w:tbl>
    <w:p w:rsidR="00912331" w:rsidRPr="00900F71" w:rsidRDefault="00912331">
      <w:pPr>
        <w:pBdr>
          <w:top w:val="nil"/>
          <w:left w:val="nil"/>
          <w:bottom w:val="nil"/>
          <w:right w:val="nil"/>
          <w:between w:val="nil"/>
        </w:pBdr>
        <w:spacing w:after="200"/>
        <w:rPr>
          <w:rFonts w:ascii="標楷體" w:eastAsia="標楷體" w:hAnsi="標楷體"/>
          <w:sz w:val="24"/>
          <w:szCs w:val="24"/>
        </w:rPr>
      </w:pPr>
    </w:p>
    <w:p w:rsidR="00912331" w:rsidRPr="00900F71" w:rsidRDefault="00912331">
      <w:pPr>
        <w:pBdr>
          <w:top w:val="nil"/>
          <w:left w:val="nil"/>
          <w:bottom w:val="nil"/>
          <w:right w:val="nil"/>
          <w:between w:val="nil"/>
        </w:pBdr>
        <w:spacing w:after="200"/>
        <w:rPr>
          <w:rFonts w:ascii="標楷體" w:eastAsia="標楷體" w:hAnsi="標楷體"/>
          <w:sz w:val="24"/>
          <w:szCs w:val="24"/>
        </w:rPr>
      </w:pPr>
    </w:p>
    <w:p w:rsidR="00912331" w:rsidRPr="00900F71" w:rsidRDefault="00900F71">
      <w:pPr>
        <w:spacing w:after="200"/>
        <w:ind w:left="420"/>
        <w:rPr>
          <w:rFonts w:ascii="標楷體" w:eastAsia="標楷體" w:hAnsi="標楷體"/>
          <w:sz w:val="24"/>
          <w:szCs w:val="24"/>
        </w:rPr>
      </w:pPr>
      <w:r w:rsidRPr="00900F71">
        <w:rPr>
          <w:rFonts w:ascii="標楷體" w:eastAsia="標楷體" w:hAnsi="標楷體" w:cs="Arial Unicode MS"/>
          <w:b/>
          <w:bCs/>
          <w:sz w:val="24"/>
          <w:szCs w:val="24"/>
        </w:rPr>
        <w:t xml:space="preserve">  5.5 甲骨文 (Oracle, ORCL) </w:t>
      </w:r>
      <w:proofErr w:type="gramStart"/>
      <w:r w:rsidRPr="00900F71">
        <w:rPr>
          <w:rFonts w:ascii="標楷體" w:eastAsia="標楷體" w:hAnsi="標楷體" w:cs="Arial Unicode MS"/>
          <w:b/>
          <w:bCs/>
          <w:sz w:val="24"/>
          <w:szCs w:val="24"/>
        </w:rPr>
        <w:t>——</w:t>
      </w:r>
      <w:proofErr w:type="gramEnd"/>
      <w:r w:rsidRPr="00900F71">
        <w:rPr>
          <w:rFonts w:ascii="標楷體" w:eastAsia="標楷體" w:hAnsi="標楷體" w:cs="Arial Unicode MS"/>
          <w:b/>
          <w:bCs/>
          <w:sz w:val="24"/>
          <w:szCs w:val="24"/>
        </w:rPr>
        <w:t xml:space="preserve"> 傳統企業科技型</w:t>
      </w:r>
    </w:p>
    <w:p w:rsidR="00912331" w:rsidRPr="00900F71" w:rsidRDefault="00900F71">
      <w:pPr>
        <w:spacing w:after="200"/>
        <w:ind w:left="708"/>
        <w:rPr>
          <w:rFonts w:ascii="標楷體" w:eastAsia="標楷體" w:hAnsi="標楷體"/>
          <w:sz w:val="24"/>
          <w:szCs w:val="24"/>
        </w:rPr>
      </w:pPr>
      <w:r w:rsidRPr="00900F71">
        <w:rPr>
          <w:rFonts w:ascii="標楷體" w:eastAsia="標楷體" w:hAnsi="標楷體" w:cs="Arial Unicode MS"/>
          <w:sz w:val="24"/>
          <w:szCs w:val="24"/>
        </w:rPr>
        <w:t>甲骨文與微軟同屬科技類股，但在策略</w:t>
      </w:r>
      <w:proofErr w:type="gramStart"/>
      <w:r w:rsidRPr="00900F71">
        <w:rPr>
          <w:rFonts w:ascii="標楷體" w:eastAsia="標楷體" w:hAnsi="標楷體" w:cs="Arial Unicode MS"/>
          <w:sz w:val="24"/>
          <w:szCs w:val="24"/>
        </w:rPr>
        <w:t>適配性上</w:t>
      </w:r>
      <w:proofErr w:type="gramEnd"/>
      <w:r w:rsidRPr="00900F71">
        <w:rPr>
          <w:rFonts w:ascii="標楷體" w:eastAsia="標楷體" w:hAnsi="標楷體" w:cs="Arial Unicode MS"/>
          <w:sz w:val="24"/>
          <w:szCs w:val="24"/>
        </w:rPr>
        <w:t>呈現出不同的特徵，特別是長</w:t>
      </w:r>
      <w:proofErr w:type="gramStart"/>
      <w:r w:rsidRPr="00900F71">
        <w:rPr>
          <w:rFonts w:ascii="標楷體" w:eastAsia="標楷體" w:hAnsi="標楷體" w:cs="Arial Unicode MS"/>
          <w:sz w:val="24"/>
          <w:szCs w:val="24"/>
        </w:rPr>
        <w:t>週期均線的</w:t>
      </w:r>
      <w:proofErr w:type="gramEnd"/>
      <w:r w:rsidRPr="00900F71">
        <w:rPr>
          <w:rFonts w:ascii="標楷體" w:eastAsia="標楷體" w:hAnsi="標楷體" w:cs="Arial Unicode MS"/>
          <w:sz w:val="24"/>
          <w:szCs w:val="24"/>
        </w:rPr>
        <w:t>優異表現。</w:t>
      </w:r>
    </w:p>
    <w:p w:rsidR="00912331" w:rsidRPr="000719D2" w:rsidRDefault="00900F71" w:rsidP="000719D2">
      <w:pPr>
        <w:pStyle w:val="af4"/>
        <w:numPr>
          <w:ilvl w:val="0"/>
          <w:numId w:val="29"/>
        </w:numPr>
        <w:pBdr>
          <w:top w:val="nil"/>
          <w:left w:val="nil"/>
          <w:bottom w:val="nil"/>
          <w:right w:val="nil"/>
          <w:between w:val="nil"/>
        </w:pBdr>
        <w:ind w:leftChars="0" w:left="1418"/>
        <w:rPr>
          <w:rFonts w:ascii="標楷體" w:eastAsia="標楷體" w:hAnsi="標楷體"/>
          <w:sz w:val="24"/>
          <w:szCs w:val="24"/>
        </w:rPr>
      </w:pPr>
      <w:r w:rsidRPr="000719D2">
        <w:rPr>
          <w:rFonts w:ascii="標楷體" w:eastAsia="標楷體" w:hAnsi="標楷體" w:cs="Arial Unicode MS"/>
          <w:sz w:val="24"/>
          <w:szCs w:val="24"/>
        </w:rPr>
        <w:t>基準對比：ORCL 的買入持有策略年化報酬率為 +15.07%，順利超越 SPY。定期定額策略則為 +8.85%，落後於大盤。</w:t>
      </w:r>
    </w:p>
    <w:p w:rsidR="00912331" w:rsidRPr="000719D2" w:rsidRDefault="00900F71" w:rsidP="000719D2">
      <w:pPr>
        <w:pStyle w:val="af4"/>
        <w:numPr>
          <w:ilvl w:val="0"/>
          <w:numId w:val="29"/>
        </w:numPr>
        <w:pBdr>
          <w:top w:val="nil"/>
          <w:left w:val="nil"/>
          <w:bottom w:val="nil"/>
          <w:right w:val="nil"/>
          <w:between w:val="nil"/>
        </w:pBdr>
        <w:spacing w:after="200"/>
        <w:ind w:leftChars="0" w:left="1418"/>
        <w:rPr>
          <w:rFonts w:ascii="標楷體" w:eastAsia="標楷體" w:hAnsi="標楷體"/>
          <w:sz w:val="24"/>
          <w:szCs w:val="24"/>
        </w:rPr>
      </w:pPr>
      <w:r w:rsidRPr="000719D2">
        <w:rPr>
          <w:rFonts w:ascii="標楷體" w:eastAsia="標楷體" w:hAnsi="標楷體" w:cs="Arial Unicode MS"/>
          <w:sz w:val="24"/>
          <w:szCs w:val="24"/>
        </w:rPr>
        <w:t>長</w:t>
      </w:r>
      <w:proofErr w:type="gramStart"/>
      <w:r w:rsidRPr="000719D2">
        <w:rPr>
          <w:rFonts w:ascii="標楷體" w:eastAsia="標楷體" w:hAnsi="標楷體" w:cs="Arial Unicode MS"/>
          <w:sz w:val="24"/>
          <w:szCs w:val="24"/>
        </w:rPr>
        <w:t>週期均線優勢</w:t>
      </w:r>
      <w:proofErr w:type="gramEnd"/>
      <w:r w:rsidRPr="000719D2">
        <w:rPr>
          <w:rFonts w:ascii="標楷體" w:eastAsia="標楷體" w:hAnsi="標楷體" w:cs="Arial Unicode MS"/>
          <w:sz w:val="24"/>
          <w:szCs w:val="24"/>
        </w:rPr>
        <w:t>：</w:t>
      </w:r>
      <w:proofErr w:type="gramStart"/>
      <w:r w:rsidRPr="000719D2">
        <w:rPr>
          <w:rFonts w:ascii="標楷體" w:eastAsia="標楷體" w:hAnsi="標楷體" w:cs="Arial Unicode MS"/>
          <w:sz w:val="24"/>
          <w:szCs w:val="24"/>
        </w:rPr>
        <w:t>在均線策略</w:t>
      </w:r>
      <w:proofErr w:type="gramEnd"/>
      <w:r w:rsidRPr="000719D2">
        <w:rPr>
          <w:rFonts w:ascii="標楷體" w:eastAsia="標楷體" w:hAnsi="標楷體" w:cs="Arial Unicode MS"/>
          <w:sz w:val="24"/>
          <w:szCs w:val="24"/>
        </w:rPr>
        <w:t>中，ORCL 的「SMA 100/300」表現相對突出，年化報酬率達 +11.52%，不僅超越了SPY，也遠勝過其餘兩</w:t>
      </w:r>
      <w:proofErr w:type="gramStart"/>
      <w:r w:rsidRPr="000719D2">
        <w:rPr>
          <w:rFonts w:ascii="標楷體" w:eastAsia="標楷體" w:hAnsi="標楷體" w:cs="Arial Unicode MS"/>
          <w:sz w:val="24"/>
          <w:szCs w:val="24"/>
        </w:rPr>
        <w:t>組均線</w:t>
      </w:r>
      <w:proofErr w:type="gramEnd"/>
      <w:r w:rsidRPr="000719D2">
        <w:rPr>
          <w:rFonts w:ascii="標楷體" w:eastAsia="標楷體" w:hAnsi="標楷體" w:cs="Arial Unicode MS"/>
          <w:sz w:val="24"/>
          <w:szCs w:val="24"/>
        </w:rPr>
        <w:t>（SMA 20/60 為 +7.07%，SMA 50/200 僅+4.33%）。這種長週期趨勢追蹤的有效性，也從側面解釋了為何在本專案後續的配對交易 (Pairs Trading) 中，系統演算法會將ORCL 與 MSFT 選為相關性最高的交易配對。</w:t>
      </w:r>
    </w:p>
    <w:p w:rsidR="00912331" w:rsidRPr="00900F71" w:rsidRDefault="00912331">
      <w:pPr>
        <w:spacing w:after="200"/>
        <w:ind w:left="420"/>
        <w:rPr>
          <w:rFonts w:ascii="標楷體" w:eastAsia="標楷體" w:hAnsi="標楷體"/>
          <w:sz w:val="24"/>
          <w:szCs w:val="24"/>
        </w:rPr>
      </w:pPr>
    </w:p>
    <w:tbl>
      <w:tblPr>
        <w:tblStyle w:val="ae"/>
        <w:tblW w:w="900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750"/>
        <w:gridCol w:w="750"/>
        <w:gridCol w:w="750"/>
        <w:gridCol w:w="750"/>
        <w:gridCol w:w="750"/>
        <w:gridCol w:w="750"/>
        <w:gridCol w:w="750"/>
        <w:gridCol w:w="750"/>
        <w:gridCol w:w="750"/>
        <w:gridCol w:w="750"/>
        <w:gridCol w:w="750"/>
        <w:gridCol w:w="750"/>
      </w:tblGrid>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策略</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初始資本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總投入</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最終價值</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累計報酬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年化報酬</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 xml:space="preserve">超額 </w:t>
            </w:r>
            <w:proofErr w:type="spellStart"/>
            <w:r w:rsidRPr="000719D2">
              <w:rPr>
                <w:rFonts w:ascii="標楷體" w:eastAsia="標楷體" w:hAnsi="標楷體" w:cs="Arial Unicode MS"/>
                <w:sz w:val="18"/>
                <w:szCs w:val="18"/>
              </w:rPr>
              <w:t>vs</w:t>
            </w:r>
            <w:proofErr w:type="spellEnd"/>
            <w:r w:rsidRPr="000719D2">
              <w:rPr>
                <w:rFonts w:ascii="標楷體" w:eastAsia="標楷體" w:hAnsi="標楷體" w:cs="Arial Unicode MS"/>
                <w:sz w:val="18"/>
                <w:szCs w:val="18"/>
              </w:rPr>
              <w:t xml:space="preserve"> SPY</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是否優於 SPY</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proofErr w:type="gramStart"/>
            <w:r w:rsidRPr="000719D2">
              <w:rPr>
                <w:rFonts w:ascii="標楷體" w:eastAsia="標楷體" w:hAnsi="標楷體" w:cs="Arial Unicode MS"/>
                <w:sz w:val="18"/>
                <w:szCs w:val="18"/>
              </w:rPr>
              <w:t>最大回撤</w:t>
            </w:r>
            <w:proofErr w:type="gramEnd"/>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波動率</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Sharpe 比率</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交易次數</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Buy-and-Hold</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$710,891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+7008.91%</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+15.07%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+4.72%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-84.19%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41.93%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0.36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Fair DCA</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$131,485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+1214.85%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+8.85%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-1.50%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否</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-58.22%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24.89%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0.36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365</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SMA 20/60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$79,652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+696.52%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+7.07%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-3.28%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否</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-68.04%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29.49%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0.24</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153</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SMA 50/200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$36,268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+262.68%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+4.33%</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-6.02%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否</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-68.47%</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29.62%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0.15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50</w:t>
            </w:r>
          </w:p>
        </w:tc>
      </w:tr>
      <w:tr w:rsidR="00912331" w:rsidRPr="000719D2" w:rsidTr="000719D2">
        <w:trPr>
          <w:trHeight w:val="808"/>
        </w:trPr>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SMA 100/300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$10,000</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$274,128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+2641.28%</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+11.52%</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+1.16%</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cs="Arial Unicode MS"/>
                <w:sz w:val="18"/>
                <w:szCs w:val="18"/>
              </w:rPr>
              <w:t>是</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-58.25%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33.09%</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0.35</w:t>
            </w: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jc w:val="center"/>
              <w:rPr>
                <w:rFonts w:ascii="標楷體" w:eastAsia="標楷體" w:hAnsi="標楷體"/>
                <w:sz w:val="18"/>
                <w:szCs w:val="18"/>
              </w:rPr>
            </w:pPr>
            <w:r w:rsidRPr="000719D2">
              <w:rPr>
                <w:rFonts w:ascii="標楷體" w:eastAsia="標楷體" w:hAnsi="標楷體"/>
                <w:sz w:val="18"/>
                <w:szCs w:val="18"/>
              </w:rPr>
              <w:t>24</w:t>
            </w:r>
          </w:p>
        </w:tc>
      </w:tr>
    </w:tbl>
    <w:p w:rsidR="00912331" w:rsidRDefault="00912331">
      <w:pPr>
        <w:rPr>
          <w:rFonts w:ascii="標楷體" w:eastAsia="標楷體" w:hAnsi="標楷體"/>
          <w:sz w:val="24"/>
          <w:szCs w:val="24"/>
        </w:rPr>
      </w:pPr>
    </w:p>
    <w:p w:rsidR="000719D2" w:rsidRDefault="000719D2">
      <w:pPr>
        <w:rPr>
          <w:rFonts w:ascii="標楷體" w:eastAsia="標楷體" w:hAnsi="標楷體"/>
          <w:sz w:val="24"/>
          <w:szCs w:val="24"/>
        </w:rPr>
      </w:pPr>
    </w:p>
    <w:p w:rsidR="000719D2" w:rsidRDefault="000719D2">
      <w:pPr>
        <w:rPr>
          <w:rFonts w:ascii="標楷體" w:eastAsia="標楷體" w:hAnsi="標楷體"/>
          <w:sz w:val="24"/>
          <w:szCs w:val="24"/>
        </w:rPr>
      </w:pPr>
    </w:p>
    <w:p w:rsidR="000719D2" w:rsidRDefault="000719D2">
      <w:pPr>
        <w:rPr>
          <w:rFonts w:ascii="標楷體" w:eastAsia="標楷體" w:hAnsi="標楷體"/>
          <w:sz w:val="24"/>
          <w:szCs w:val="24"/>
        </w:rPr>
      </w:pPr>
    </w:p>
    <w:p w:rsidR="000719D2" w:rsidRDefault="000719D2">
      <w:pPr>
        <w:rPr>
          <w:rFonts w:ascii="標楷體" w:eastAsia="標楷體" w:hAnsi="標楷體"/>
          <w:sz w:val="24"/>
          <w:szCs w:val="24"/>
        </w:rPr>
      </w:pPr>
    </w:p>
    <w:p w:rsidR="000719D2" w:rsidRPr="00900F71" w:rsidRDefault="000719D2">
      <w:pPr>
        <w:rPr>
          <w:rFonts w:ascii="標楷體" w:eastAsia="標楷體" w:hAnsi="標楷體"/>
        </w:rPr>
      </w:pP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策略穩健性測試： Temporal Validation</w:t>
      </w:r>
    </w:p>
    <w:p w:rsidR="00912331" w:rsidRPr="00900F71" w:rsidRDefault="00900F71">
      <w:pPr>
        <w:spacing w:after="200"/>
        <w:ind w:firstLine="566"/>
        <w:rPr>
          <w:rFonts w:ascii="標楷體" w:eastAsia="標楷體" w:hAnsi="標楷體"/>
          <w:sz w:val="24"/>
          <w:szCs w:val="24"/>
        </w:rPr>
      </w:pPr>
      <w:r w:rsidRPr="00900F71">
        <w:rPr>
          <w:rFonts w:ascii="標楷體" w:eastAsia="標楷體" w:hAnsi="標楷體" w:cs="Arial Unicode MS"/>
          <w:sz w:val="24"/>
          <w:szCs w:val="24"/>
        </w:rPr>
        <w:t>為了避免過度擬合 (</w:t>
      </w:r>
      <w:proofErr w:type="spellStart"/>
      <w:r w:rsidRPr="00900F71">
        <w:rPr>
          <w:rFonts w:ascii="標楷體" w:eastAsia="標楷體" w:hAnsi="標楷體" w:cs="Arial Unicode MS"/>
          <w:sz w:val="24"/>
          <w:szCs w:val="24"/>
        </w:rPr>
        <w:t>Overfitting</w:t>
      </w:r>
      <w:proofErr w:type="spellEnd"/>
      <w:r w:rsidRPr="00900F71">
        <w:rPr>
          <w:rFonts w:ascii="標楷體" w:eastAsia="標楷體" w:hAnsi="標楷體" w:cs="Arial Unicode MS"/>
          <w:sz w:val="24"/>
          <w:szCs w:val="24"/>
        </w:rPr>
        <w:t>) 並確保回測結果不因特定的時間段選擇而</w:t>
      </w:r>
      <w:proofErr w:type="gramStart"/>
      <w:r w:rsidRPr="00900F71">
        <w:rPr>
          <w:rFonts w:ascii="標楷體" w:eastAsia="標楷體" w:hAnsi="標楷體" w:cs="Arial Unicode MS"/>
          <w:sz w:val="24"/>
          <w:szCs w:val="24"/>
        </w:rPr>
        <w:t>產生偏誤</w:t>
      </w:r>
      <w:proofErr w:type="gramEnd"/>
      <w:r w:rsidRPr="00900F71">
        <w:rPr>
          <w:rFonts w:ascii="標楷體" w:eastAsia="標楷體" w:hAnsi="標楷體" w:cs="Arial Unicode MS"/>
          <w:sz w:val="24"/>
          <w:szCs w:val="24"/>
        </w:rPr>
        <w:t>，本研究採用了嚴謹的「擴增視窗 (</w:t>
      </w:r>
      <w:proofErr w:type="spellStart"/>
      <w:r w:rsidRPr="00900F71">
        <w:rPr>
          <w:rFonts w:ascii="標楷體" w:eastAsia="標楷體" w:hAnsi="標楷體" w:cs="Arial Unicode MS"/>
          <w:sz w:val="24"/>
          <w:szCs w:val="24"/>
        </w:rPr>
        <w:t>ExpandingWindow</w:t>
      </w:r>
      <w:proofErr w:type="spellEnd"/>
      <w:r w:rsidRPr="00900F71">
        <w:rPr>
          <w:rFonts w:ascii="標楷體" w:eastAsia="標楷體" w:hAnsi="標楷體" w:cs="Arial Unicode MS"/>
          <w:sz w:val="24"/>
          <w:szCs w:val="24"/>
        </w:rPr>
        <w:t>)」機制進行時間驗證。此方法模擬了投資者在不同歷史時點進場，並觀察其策略在隨後樣本外 (Out-of-Sample)期間的穩定表現。</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6.1 驗證設計說明</w:t>
      </w:r>
    </w:p>
    <w:p w:rsidR="00912331" w:rsidRPr="000719D2" w:rsidRDefault="00900F71" w:rsidP="000719D2">
      <w:pPr>
        <w:pStyle w:val="af4"/>
        <w:numPr>
          <w:ilvl w:val="0"/>
          <w:numId w:val="30"/>
        </w:numPr>
        <w:pBdr>
          <w:top w:val="nil"/>
          <w:left w:val="nil"/>
          <w:bottom w:val="nil"/>
          <w:right w:val="nil"/>
          <w:between w:val="nil"/>
        </w:pBdr>
        <w:ind w:leftChars="0" w:left="1276"/>
        <w:rPr>
          <w:rFonts w:ascii="標楷體" w:eastAsia="標楷體" w:hAnsi="標楷體"/>
          <w:sz w:val="24"/>
          <w:szCs w:val="24"/>
        </w:rPr>
      </w:pPr>
      <w:r w:rsidRPr="000719D2">
        <w:rPr>
          <w:rFonts w:ascii="標楷體" w:eastAsia="標楷體" w:hAnsi="標楷體" w:cs="Arial Unicode MS"/>
          <w:sz w:val="24"/>
          <w:szCs w:val="24"/>
        </w:rPr>
        <w:t>機制：採用擴增視窗而非隨機拆分數據，以嚴格保留時間序列的先後順序，徹底杜絕前</w:t>
      </w:r>
      <w:proofErr w:type="gramStart"/>
      <w:r w:rsidRPr="000719D2">
        <w:rPr>
          <w:rFonts w:ascii="標楷體" w:eastAsia="標楷體" w:hAnsi="標楷體" w:cs="Arial Unicode MS"/>
          <w:sz w:val="24"/>
          <w:szCs w:val="24"/>
        </w:rPr>
        <w:t>視偏誤</w:t>
      </w:r>
      <w:proofErr w:type="gramEnd"/>
      <w:r w:rsidRPr="000719D2">
        <w:rPr>
          <w:rFonts w:ascii="標楷體" w:eastAsia="標楷體" w:hAnsi="標楷體" w:cs="Arial Unicode MS"/>
          <w:sz w:val="24"/>
          <w:szCs w:val="24"/>
        </w:rPr>
        <w:t xml:space="preserve"> (Look-ahead bias)。</w:t>
      </w:r>
    </w:p>
    <w:p w:rsidR="00912331" w:rsidRPr="000719D2" w:rsidRDefault="00900F71" w:rsidP="000719D2">
      <w:pPr>
        <w:pStyle w:val="af4"/>
        <w:numPr>
          <w:ilvl w:val="0"/>
          <w:numId w:val="30"/>
        </w:numPr>
        <w:pBdr>
          <w:top w:val="nil"/>
          <w:left w:val="nil"/>
          <w:bottom w:val="nil"/>
          <w:right w:val="nil"/>
          <w:between w:val="nil"/>
        </w:pBdr>
        <w:ind w:leftChars="0" w:left="1276"/>
        <w:rPr>
          <w:rFonts w:ascii="標楷體" w:eastAsia="標楷體" w:hAnsi="標楷體"/>
          <w:sz w:val="24"/>
          <w:szCs w:val="24"/>
        </w:rPr>
      </w:pPr>
      <w:r w:rsidRPr="000719D2">
        <w:rPr>
          <w:rFonts w:ascii="標楷體" w:eastAsia="標楷體" w:hAnsi="標楷體" w:cs="Arial Unicode MS"/>
          <w:sz w:val="24"/>
          <w:szCs w:val="24"/>
        </w:rPr>
        <w:t xml:space="preserve">規模：針對 5 檔個股與 5 種策略，共劃分 30 </w:t>
      </w:r>
      <w:proofErr w:type="gramStart"/>
      <w:r w:rsidRPr="000719D2">
        <w:rPr>
          <w:rFonts w:ascii="標楷體" w:eastAsia="標楷體" w:hAnsi="標楷體" w:cs="Arial Unicode MS"/>
          <w:sz w:val="24"/>
          <w:szCs w:val="24"/>
        </w:rPr>
        <w:t>個</w:t>
      </w:r>
      <w:proofErr w:type="gramEnd"/>
      <w:r w:rsidRPr="000719D2">
        <w:rPr>
          <w:rFonts w:ascii="標楷體" w:eastAsia="標楷體" w:hAnsi="標楷體" w:cs="Arial Unicode MS"/>
          <w:sz w:val="24"/>
          <w:szCs w:val="24"/>
        </w:rPr>
        <w:t>驗證視窗，總計產生 750 筆獨立的測試記錄。</w:t>
      </w:r>
    </w:p>
    <w:p w:rsidR="00912331" w:rsidRPr="000719D2" w:rsidRDefault="00900F71" w:rsidP="000719D2">
      <w:pPr>
        <w:pStyle w:val="af4"/>
        <w:numPr>
          <w:ilvl w:val="0"/>
          <w:numId w:val="30"/>
        </w:numPr>
        <w:pBdr>
          <w:top w:val="nil"/>
          <w:left w:val="nil"/>
          <w:bottom w:val="nil"/>
          <w:right w:val="nil"/>
          <w:between w:val="nil"/>
        </w:pBdr>
        <w:spacing w:after="200"/>
        <w:ind w:leftChars="0" w:left="1276"/>
        <w:rPr>
          <w:rFonts w:ascii="標楷體" w:eastAsia="標楷體" w:hAnsi="標楷體"/>
          <w:sz w:val="24"/>
          <w:szCs w:val="24"/>
        </w:rPr>
      </w:pPr>
      <w:r w:rsidRPr="000719D2">
        <w:rPr>
          <w:rFonts w:ascii="標楷體" w:eastAsia="標楷體" w:hAnsi="標楷體" w:cs="Arial Unicode MS"/>
          <w:sz w:val="24"/>
          <w:szCs w:val="24"/>
        </w:rPr>
        <w:t>參數固定：所有策略參數（如 SMA 的週期）</w:t>
      </w:r>
      <w:proofErr w:type="gramStart"/>
      <w:r w:rsidRPr="000719D2">
        <w:rPr>
          <w:rFonts w:ascii="標楷體" w:eastAsia="標楷體" w:hAnsi="標楷體" w:cs="Arial Unicode MS"/>
          <w:sz w:val="24"/>
          <w:szCs w:val="24"/>
        </w:rPr>
        <w:t>均為預先</w:t>
      </w:r>
      <w:proofErr w:type="gramEnd"/>
      <w:r w:rsidRPr="000719D2">
        <w:rPr>
          <w:rFonts w:ascii="標楷體" w:eastAsia="標楷體" w:hAnsi="標楷體" w:cs="Arial Unicode MS"/>
          <w:sz w:val="24"/>
          <w:szCs w:val="24"/>
        </w:rPr>
        <w:t>定義，在各個驗證視窗中保持一致，未依測試結果進行事後調整。</w:t>
      </w:r>
    </w:p>
    <w:p w:rsidR="00912331" w:rsidRPr="00900F71" w:rsidRDefault="00900F71">
      <w:pPr>
        <w:pBdr>
          <w:top w:val="nil"/>
          <w:left w:val="nil"/>
          <w:bottom w:val="nil"/>
          <w:right w:val="nil"/>
          <w:between w:val="nil"/>
        </w:pBdr>
        <w:spacing w:after="200"/>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3882488B" wp14:editId="7925D61B">
            <wp:extent cx="5731200" cy="1905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905000"/>
                    </a:xfrm>
                    <a:prstGeom prst="rect">
                      <a:avLst/>
                    </a:prstGeom>
                    <a:ln/>
                  </pic:spPr>
                </pic:pic>
              </a:graphicData>
            </a:graphic>
          </wp:inline>
        </w:drawing>
      </w:r>
    </w:p>
    <w:p w:rsidR="00912331" w:rsidRPr="00900F71" w:rsidRDefault="00900F71">
      <w:pPr>
        <w:pBdr>
          <w:top w:val="nil"/>
          <w:left w:val="nil"/>
          <w:bottom w:val="nil"/>
          <w:right w:val="nil"/>
          <w:between w:val="nil"/>
        </w:pBdr>
        <w:spacing w:after="200"/>
        <w:ind w:left="425"/>
        <w:rPr>
          <w:rFonts w:ascii="標楷體" w:eastAsia="標楷體" w:hAnsi="標楷體"/>
          <w:b/>
          <w:bCs/>
          <w:color w:val="FF0000"/>
          <w:sz w:val="24"/>
          <w:szCs w:val="24"/>
        </w:rPr>
      </w:pPr>
      <w:r w:rsidRPr="00900F71">
        <w:rPr>
          <w:rFonts w:ascii="標楷體" w:eastAsia="標楷體" w:hAnsi="標楷體"/>
          <w:b/>
          <w:bCs/>
          <w:sz w:val="24"/>
          <w:szCs w:val="24"/>
        </w:rPr>
        <w:t xml:space="preserve"> </w:t>
      </w:r>
      <w:r w:rsidRPr="000719D2">
        <w:rPr>
          <w:rFonts w:ascii="標楷體" w:eastAsia="標楷體" w:hAnsi="標楷體"/>
          <w:b/>
          <w:bCs/>
          <w:color w:val="000000" w:themeColor="text1"/>
          <w:sz w:val="24"/>
          <w:szCs w:val="24"/>
        </w:rPr>
        <w:t xml:space="preserve"> 6.2 </w:t>
      </w:r>
      <w:r w:rsidRPr="000719D2">
        <w:rPr>
          <w:rFonts w:ascii="標楷體" w:eastAsia="標楷體" w:hAnsi="標楷體" w:cs="Arial Unicode MS"/>
          <w:b/>
          <w:bCs/>
          <w:color w:val="000000" w:themeColor="text1"/>
          <w:sz w:val="24"/>
          <w:szCs w:val="24"/>
        </w:rPr>
        <w:t>各投資策略之穩定性評估</w:t>
      </w:r>
    </w:p>
    <w:p w:rsidR="00912331" w:rsidRPr="00900F71" w:rsidRDefault="00900F71">
      <w:pPr>
        <w:pBdr>
          <w:top w:val="nil"/>
          <w:left w:val="nil"/>
          <w:bottom w:val="nil"/>
          <w:right w:val="nil"/>
          <w:between w:val="nil"/>
        </w:pBdr>
        <w:spacing w:after="200"/>
        <w:ind w:left="708"/>
        <w:rPr>
          <w:rFonts w:ascii="標楷體" w:eastAsia="標楷體" w:hAnsi="標楷體"/>
          <w:sz w:val="24"/>
          <w:szCs w:val="24"/>
        </w:rPr>
      </w:pPr>
      <w:r w:rsidRPr="00900F71">
        <w:rPr>
          <w:rFonts w:ascii="標楷體" w:eastAsia="標楷體" w:hAnsi="標楷體" w:cs="Arial Unicode MS"/>
          <w:sz w:val="24"/>
          <w:szCs w:val="24"/>
        </w:rPr>
        <w:t>各類策略在跨視窗測試中的穩定性特徵如下表與說明：</w:t>
      </w:r>
    </w:p>
    <w:p w:rsidR="00912331" w:rsidRPr="00900F71" w:rsidRDefault="00912331">
      <w:pPr>
        <w:rPr>
          <w:rFonts w:ascii="標楷體" w:eastAsia="標楷體" w:hAnsi="標楷體"/>
        </w:rPr>
      </w:pPr>
    </w:p>
    <w:tbl>
      <w:tblPr>
        <w:tblStyle w:val="af"/>
        <w:tblW w:w="9025"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289"/>
        <w:gridCol w:w="1289"/>
        <w:gridCol w:w="1289"/>
        <w:gridCol w:w="1290"/>
        <w:gridCol w:w="1289"/>
        <w:gridCol w:w="1289"/>
        <w:gridCol w:w="1290"/>
      </w:tblGrid>
      <w:tr w:rsidR="00912331" w:rsidRPr="000719D2" w:rsidTr="000719D2">
        <w:trPr>
          <w:trHeight w:val="539"/>
        </w:trPr>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策略</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正回報率</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超越 SPY 比率</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平均年化回報率</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平均</w:t>
            </w:r>
            <w:proofErr w:type="gramStart"/>
            <w:r w:rsidRPr="000719D2">
              <w:rPr>
                <w:rFonts w:ascii="標楷體" w:eastAsia="標楷體" w:hAnsi="標楷體" w:cs="Arial Unicode MS"/>
                <w:sz w:val="18"/>
                <w:szCs w:val="18"/>
              </w:rPr>
              <w:t>最大回撤</w:t>
            </w:r>
            <w:proofErr w:type="gramEnd"/>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平均波動率</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cs="Arial Unicode MS"/>
                <w:sz w:val="18"/>
                <w:szCs w:val="18"/>
              </w:rPr>
              <w:t>平均夏普比</w:t>
            </w:r>
          </w:p>
        </w:tc>
      </w:tr>
      <w:tr w:rsidR="00912331" w:rsidRPr="000719D2" w:rsidTr="000719D2">
        <w:trPr>
          <w:trHeight w:val="539"/>
        </w:trPr>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Buy-and-Hold</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96.67%</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61.33%</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15.73%</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-46.23%</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26.88%</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0.6</w:t>
            </w:r>
          </w:p>
        </w:tc>
      </w:tr>
      <w:tr w:rsidR="00912331" w:rsidRPr="000719D2" w:rsidTr="000719D2">
        <w:trPr>
          <w:trHeight w:val="539"/>
        </w:trPr>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Fair DCA</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96.67%</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24.00%</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9.70%</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-34.74%</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17.80%</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0.54</w:t>
            </w:r>
          </w:p>
        </w:tc>
      </w:tr>
      <w:tr w:rsidR="00912331" w:rsidRPr="000719D2" w:rsidTr="000719D2">
        <w:trPr>
          <w:trHeight w:val="539"/>
        </w:trPr>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SMA 20/60</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97.33%</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26.67%</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9.22%</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-34.29%</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19.07%</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0.48</w:t>
            </w:r>
          </w:p>
        </w:tc>
      </w:tr>
      <w:tr w:rsidR="00912331" w:rsidRPr="000719D2" w:rsidTr="000719D2">
        <w:trPr>
          <w:trHeight w:val="539"/>
        </w:trPr>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SMA 50/200</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90.67%</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26.67%</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7.96%</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-41.64%</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21.13%</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0.35</w:t>
            </w:r>
          </w:p>
        </w:tc>
      </w:tr>
      <w:tr w:rsidR="00912331" w:rsidRPr="000719D2" w:rsidTr="000719D2">
        <w:trPr>
          <w:trHeight w:val="539"/>
        </w:trPr>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SMA 100/300</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90.67%</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26.67%</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9.27%</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-43.24%</w:t>
            </w:r>
          </w:p>
        </w:tc>
        <w:tc>
          <w:tcPr>
            <w:tcW w:w="128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23.50%</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rsidR="00912331" w:rsidRPr="000719D2" w:rsidRDefault="00900F71" w:rsidP="000719D2">
            <w:pPr>
              <w:widowControl w:val="0"/>
              <w:ind w:right="207"/>
              <w:jc w:val="center"/>
              <w:rPr>
                <w:rFonts w:ascii="標楷體" w:eastAsia="標楷體" w:hAnsi="標楷體"/>
                <w:sz w:val="18"/>
                <w:szCs w:val="18"/>
              </w:rPr>
            </w:pPr>
            <w:r w:rsidRPr="000719D2">
              <w:rPr>
                <w:rFonts w:ascii="標楷體" w:eastAsia="標楷體" w:hAnsi="標楷體"/>
                <w:sz w:val="18"/>
                <w:szCs w:val="18"/>
              </w:rPr>
              <w:t>0.39</w:t>
            </w:r>
          </w:p>
        </w:tc>
      </w:tr>
    </w:tbl>
    <w:p w:rsidR="00912331" w:rsidRPr="00900F71" w:rsidRDefault="00912331">
      <w:pPr>
        <w:rPr>
          <w:rFonts w:ascii="標楷體" w:eastAsia="標楷體" w:hAnsi="標楷體"/>
        </w:rPr>
      </w:pPr>
    </w:p>
    <w:p w:rsidR="00912331" w:rsidRPr="000719D2" w:rsidRDefault="00900F71" w:rsidP="000719D2">
      <w:pPr>
        <w:pStyle w:val="af4"/>
        <w:numPr>
          <w:ilvl w:val="0"/>
          <w:numId w:val="31"/>
        </w:numPr>
        <w:spacing w:after="200"/>
        <w:ind w:leftChars="0"/>
        <w:rPr>
          <w:rFonts w:ascii="標楷體" w:eastAsia="標楷體" w:hAnsi="標楷體"/>
          <w:sz w:val="24"/>
          <w:szCs w:val="24"/>
        </w:rPr>
      </w:pPr>
      <w:r w:rsidRPr="000719D2">
        <w:rPr>
          <w:rFonts w:ascii="標楷體" w:eastAsia="標楷體" w:hAnsi="標楷體" w:cs="Arial Unicode MS"/>
          <w:sz w:val="24"/>
          <w:szCs w:val="24"/>
        </w:rPr>
        <w:t>最穩健策略：買入持有</w:t>
      </w:r>
    </w:p>
    <w:p w:rsidR="00912331" w:rsidRPr="00900F71" w:rsidRDefault="00900F71">
      <w:pPr>
        <w:spacing w:after="200"/>
        <w:ind w:left="1133"/>
        <w:rPr>
          <w:rFonts w:ascii="標楷體" w:eastAsia="標楷體" w:hAnsi="標楷體"/>
          <w:sz w:val="24"/>
          <w:szCs w:val="24"/>
        </w:rPr>
      </w:pPr>
      <w:r w:rsidRPr="00900F71">
        <w:rPr>
          <w:rFonts w:ascii="標楷體" w:eastAsia="標楷體" w:hAnsi="標楷體" w:cs="Arial Unicode MS"/>
          <w:sz w:val="24"/>
          <w:szCs w:val="24"/>
        </w:rPr>
        <w:t>在 750 筆測試記錄中，買入持有策略的正報酬視窗比例最高 (96.67%)，且有 61.33% 的機率</w:t>
      </w:r>
      <w:proofErr w:type="gramStart"/>
      <w:r w:rsidRPr="00900F71">
        <w:rPr>
          <w:rFonts w:ascii="標楷體" w:eastAsia="標楷體" w:hAnsi="標楷體" w:cs="Arial Unicode MS"/>
          <w:sz w:val="24"/>
          <w:szCs w:val="24"/>
        </w:rPr>
        <w:t>能跑贏市場</w:t>
      </w:r>
      <w:proofErr w:type="gramEnd"/>
      <w:r w:rsidRPr="00900F71">
        <w:rPr>
          <w:rFonts w:ascii="標楷體" w:eastAsia="標楷體" w:hAnsi="標楷體" w:cs="Arial Unicode MS"/>
          <w:sz w:val="24"/>
          <w:szCs w:val="24"/>
        </w:rPr>
        <w:t>基準SPY。這再次證明了在長期經濟成長的背景下，長期持有優質標的具備極高的獲利確定性。</w:t>
      </w:r>
    </w:p>
    <w:p w:rsidR="00912331" w:rsidRPr="000719D2" w:rsidRDefault="00900F71" w:rsidP="000719D2">
      <w:pPr>
        <w:pStyle w:val="af4"/>
        <w:numPr>
          <w:ilvl w:val="0"/>
          <w:numId w:val="31"/>
        </w:numPr>
        <w:spacing w:after="200"/>
        <w:ind w:leftChars="0"/>
        <w:rPr>
          <w:rFonts w:ascii="標楷體" w:eastAsia="標楷體" w:hAnsi="標楷體"/>
          <w:sz w:val="24"/>
          <w:szCs w:val="24"/>
        </w:rPr>
      </w:pPr>
      <w:r w:rsidRPr="000719D2">
        <w:rPr>
          <w:rFonts w:ascii="標楷體" w:eastAsia="標楷體" w:hAnsi="標楷體" w:cs="Arial Unicode MS"/>
          <w:sz w:val="24"/>
          <w:szCs w:val="24"/>
        </w:rPr>
        <w:t>定期定額的防禦價值</w:t>
      </w:r>
    </w:p>
    <w:p w:rsidR="00912331" w:rsidRPr="00900F71" w:rsidRDefault="00900F71">
      <w:pPr>
        <w:spacing w:after="200"/>
        <w:ind w:left="1133"/>
        <w:rPr>
          <w:rFonts w:ascii="標楷體" w:eastAsia="標楷體" w:hAnsi="標楷體"/>
          <w:sz w:val="24"/>
          <w:szCs w:val="24"/>
        </w:rPr>
      </w:pPr>
      <w:r w:rsidRPr="00900F71">
        <w:rPr>
          <w:rFonts w:ascii="標楷體" w:eastAsia="標楷體" w:hAnsi="標楷體" w:cs="Arial Unicode MS"/>
          <w:sz w:val="24"/>
          <w:szCs w:val="24"/>
        </w:rPr>
        <w:t xml:space="preserve"> Fair DCA 展現了極高的正報酬勝率 (96.67%)，雖然其年化報酬率低於買入持有，但在市場大幅波動的測試視窗中，其報酬率的分佈相對集中（標準差較小），顯示其對於降低投資風險具有顯著貢獻，儘管其超越 SPY 的機率僅約 24.00%。</w:t>
      </w:r>
    </w:p>
    <w:p w:rsidR="00912331" w:rsidRPr="000719D2" w:rsidRDefault="00900F71" w:rsidP="000719D2">
      <w:pPr>
        <w:pStyle w:val="af4"/>
        <w:numPr>
          <w:ilvl w:val="0"/>
          <w:numId w:val="31"/>
        </w:numPr>
        <w:spacing w:after="200"/>
        <w:ind w:leftChars="0"/>
        <w:rPr>
          <w:rFonts w:ascii="標楷體" w:eastAsia="標楷體" w:hAnsi="標楷體"/>
          <w:sz w:val="24"/>
          <w:szCs w:val="24"/>
        </w:rPr>
      </w:pPr>
      <w:r w:rsidRPr="000719D2">
        <w:rPr>
          <w:rFonts w:ascii="標楷體" w:eastAsia="標楷體" w:hAnsi="標楷體" w:cs="Arial Unicode MS"/>
          <w:sz w:val="24"/>
          <w:szCs w:val="24"/>
        </w:rPr>
        <w:t>SMA 策略的參數敏感性</w:t>
      </w:r>
    </w:p>
    <w:p w:rsidR="00912331" w:rsidRPr="00900F71" w:rsidRDefault="00900F71">
      <w:pPr>
        <w:spacing w:after="200"/>
        <w:ind w:left="1133"/>
        <w:rPr>
          <w:rFonts w:ascii="標楷體" w:eastAsia="標楷體" w:hAnsi="標楷體"/>
          <w:sz w:val="24"/>
          <w:szCs w:val="24"/>
        </w:rPr>
      </w:pPr>
      <w:r w:rsidRPr="00900F71">
        <w:rPr>
          <w:rFonts w:ascii="標楷體" w:eastAsia="標楷體" w:hAnsi="標楷體" w:cs="Arial Unicode MS"/>
          <w:sz w:val="24"/>
          <w:szCs w:val="24"/>
        </w:rPr>
        <w:t>「SMA 20/60」雖擁有較高的正報酬機率，但超越 SPY 的比例低 ，顯示頻繁交易在多數時間段內都無法創造優於大盤的超額報酬。而「SMA 50/200的中位數報酬僅4.81%，且正報酬視窗比例最低，反映該參數組合在不同時間點切入時的表現最不穩定。</w:t>
      </w:r>
    </w:p>
    <w:p w:rsidR="00912331" w:rsidRPr="00900F71" w:rsidRDefault="00912331">
      <w:pPr>
        <w:spacing w:after="200"/>
        <w:rPr>
          <w:rFonts w:ascii="標楷體" w:eastAsia="標楷體" w:hAnsi="標楷體"/>
          <w:sz w:val="24"/>
          <w:szCs w:val="24"/>
        </w:rPr>
      </w:pPr>
    </w:p>
    <w:p w:rsidR="00912331" w:rsidRPr="000719D2" w:rsidRDefault="00900F71">
      <w:pPr>
        <w:spacing w:after="200"/>
        <w:ind w:left="425"/>
        <w:rPr>
          <w:rFonts w:ascii="標楷體" w:eastAsia="標楷體" w:hAnsi="標楷體"/>
          <w:b/>
          <w:bCs/>
          <w:color w:val="000000" w:themeColor="text1"/>
          <w:sz w:val="24"/>
          <w:szCs w:val="24"/>
        </w:rPr>
      </w:pPr>
      <w:r w:rsidRPr="000719D2">
        <w:rPr>
          <w:rFonts w:ascii="標楷體" w:eastAsia="標楷體" w:hAnsi="標楷體" w:cs="Arial Unicode MS"/>
          <w:b/>
          <w:bCs/>
          <w:color w:val="000000" w:themeColor="text1"/>
          <w:sz w:val="24"/>
          <w:szCs w:val="24"/>
        </w:rPr>
        <w:t xml:space="preserve">  6.3 個股在不同時空下的穩定性差異</w:t>
      </w:r>
    </w:p>
    <w:p w:rsidR="00912331" w:rsidRPr="00900F71" w:rsidRDefault="00900F71">
      <w:pPr>
        <w:spacing w:after="200"/>
        <w:ind w:left="425"/>
        <w:rPr>
          <w:rFonts w:ascii="標楷體" w:eastAsia="標楷體" w:hAnsi="標楷體"/>
          <w:b/>
          <w:bCs/>
          <w:color w:val="FF0000"/>
          <w:sz w:val="24"/>
          <w:szCs w:val="24"/>
        </w:rPr>
      </w:pPr>
      <w:r w:rsidRPr="00900F71">
        <w:rPr>
          <w:rFonts w:ascii="標楷體" w:eastAsia="標楷體" w:hAnsi="標楷體"/>
          <w:b/>
          <w:bCs/>
          <w:noProof/>
          <w:color w:val="FF0000"/>
          <w:sz w:val="24"/>
          <w:szCs w:val="24"/>
        </w:rPr>
        <w:drawing>
          <wp:inline distT="114300" distB="114300" distL="114300" distR="114300" wp14:anchorId="3B93D34D" wp14:editId="311E16CD">
            <wp:extent cx="5731200" cy="3149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149600"/>
                    </a:xfrm>
                    <a:prstGeom prst="rect">
                      <a:avLst/>
                    </a:prstGeom>
                    <a:ln/>
                  </pic:spPr>
                </pic:pic>
              </a:graphicData>
            </a:graphic>
          </wp:inline>
        </w:drawing>
      </w:r>
    </w:p>
    <w:p w:rsidR="00912331" w:rsidRPr="00900F71" w:rsidRDefault="00900F71">
      <w:pPr>
        <w:spacing w:after="200"/>
        <w:ind w:left="425"/>
        <w:rPr>
          <w:rFonts w:ascii="標楷體" w:eastAsia="標楷體" w:hAnsi="標楷體"/>
          <w:b/>
          <w:bCs/>
          <w:color w:val="FF0000"/>
          <w:sz w:val="24"/>
          <w:szCs w:val="24"/>
        </w:rPr>
      </w:pPr>
      <w:r w:rsidRPr="00900F71">
        <w:rPr>
          <w:rFonts w:ascii="標楷體" w:eastAsia="標楷體" w:hAnsi="標楷體"/>
          <w:b/>
          <w:bCs/>
          <w:noProof/>
          <w:color w:val="FF0000"/>
          <w:sz w:val="24"/>
          <w:szCs w:val="24"/>
        </w:rPr>
        <w:drawing>
          <wp:inline distT="114300" distB="114300" distL="114300" distR="114300" wp14:anchorId="6A5D8A8A" wp14:editId="2198C8B2">
            <wp:extent cx="5731200" cy="31750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3175000"/>
                    </a:xfrm>
                    <a:prstGeom prst="rect">
                      <a:avLst/>
                    </a:prstGeom>
                    <a:ln/>
                  </pic:spPr>
                </pic:pic>
              </a:graphicData>
            </a:graphic>
          </wp:inline>
        </w:drawing>
      </w:r>
    </w:p>
    <w:p w:rsidR="00912331" w:rsidRPr="00900F71" w:rsidRDefault="00912331">
      <w:pPr>
        <w:spacing w:after="200"/>
        <w:ind w:left="425"/>
        <w:rPr>
          <w:rFonts w:ascii="標楷體" w:eastAsia="標楷體" w:hAnsi="標楷體"/>
          <w:b/>
          <w:bCs/>
          <w:color w:val="FF0000"/>
          <w:sz w:val="24"/>
          <w:szCs w:val="24"/>
        </w:rPr>
      </w:pPr>
    </w:p>
    <w:p w:rsidR="00912331" w:rsidRPr="000719D2" w:rsidRDefault="00900F71" w:rsidP="000719D2">
      <w:pPr>
        <w:pStyle w:val="af4"/>
        <w:numPr>
          <w:ilvl w:val="0"/>
          <w:numId w:val="31"/>
        </w:numPr>
        <w:ind w:leftChars="0" w:left="1418"/>
        <w:rPr>
          <w:rFonts w:ascii="標楷體" w:eastAsia="標楷體" w:hAnsi="標楷體"/>
          <w:sz w:val="24"/>
          <w:szCs w:val="24"/>
        </w:rPr>
      </w:pPr>
      <w:r w:rsidRPr="000719D2">
        <w:rPr>
          <w:rFonts w:ascii="標楷體" w:eastAsia="標楷體" w:hAnsi="標楷體" w:cs="Arial Unicode MS"/>
          <w:sz w:val="24"/>
          <w:szCs w:val="24"/>
        </w:rPr>
        <w:t>AAPL (最強穩健標的)：在所有驗證視窗中，AAPL 的買入持有策略達成了 100% 正報酬的紀錄，且高達 96.67% 的視窗表現優於SPY，展現了極強的抗週期能力。</w:t>
      </w:r>
    </w:p>
    <w:p w:rsidR="00912331" w:rsidRPr="000719D2" w:rsidRDefault="00900F71" w:rsidP="000719D2">
      <w:pPr>
        <w:pStyle w:val="af4"/>
        <w:numPr>
          <w:ilvl w:val="0"/>
          <w:numId w:val="31"/>
        </w:numPr>
        <w:ind w:leftChars="0" w:left="1418"/>
        <w:rPr>
          <w:rFonts w:ascii="標楷體" w:eastAsia="標楷體" w:hAnsi="標楷體"/>
          <w:sz w:val="24"/>
          <w:szCs w:val="24"/>
        </w:rPr>
      </w:pPr>
      <w:r w:rsidRPr="000719D2">
        <w:rPr>
          <w:rFonts w:ascii="標楷體" w:eastAsia="標楷體" w:hAnsi="標楷體" w:cs="Arial Unicode MS"/>
          <w:sz w:val="24"/>
          <w:szCs w:val="24"/>
        </w:rPr>
        <w:t>KO (防禦標的</w:t>
      </w:r>
      <w:proofErr w:type="gramStart"/>
      <w:r w:rsidRPr="000719D2">
        <w:rPr>
          <w:rFonts w:ascii="標楷體" w:eastAsia="標楷體" w:hAnsi="標楷體" w:cs="Arial Unicode MS"/>
          <w:sz w:val="24"/>
          <w:szCs w:val="24"/>
        </w:rPr>
        <w:t>的</w:t>
      </w:r>
      <w:proofErr w:type="gramEnd"/>
      <w:r w:rsidRPr="000719D2">
        <w:rPr>
          <w:rFonts w:ascii="標楷體" w:eastAsia="標楷體" w:hAnsi="標楷體" w:cs="Arial Unicode MS"/>
          <w:sz w:val="24"/>
          <w:szCs w:val="24"/>
        </w:rPr>
        <w:t>侷限)：雖然 KO 在多數視窗中能維持正報酬，但僅有 6.7%的視窗能超越市場基準，這意味著在絕大多數的歷史時刻進場投資 KO，其機會成本都高於直接投資大盤。</w:t>
      </w:r>
    </w:p>
    <w:p w:rsidR="00912331" w:rsidRPr="000719D2" w:rsidRDefault="00900F71" w:rsidP="000719D2">
      <w:pPr>
        <w:pStyle w:val="af4"/>
        <w:numPr>
          <w:ilvl w:val="0"/>
          <w:numId w:val="31"/>
        </w:numPr>
        <w:ind w:leftChars="0" w:left="1418"/>
        <w:rPr>
          <w:rFonts w:ascii="標楷體" w:eastAsia="標楷體" w:hAnsi="標楷體"/>
          <w:sz w:val="24"/>
          <w:szCs w:val="24"/>
        </w:rPr>
      </w:pPr>
      <w:r w:rsidRPr="000719D2">
        <w:rPr>
          <w:rFonts w:ascii="標楷體" w:eastAsia="標楷體" w:hAnsi="標楷體" w:cs="Arial Unicode MS"/>
          <w:sz w:val="24"/>
          <w:szCs w:val="24"/>
        </w:rPr>
        <w:t xml:space="preserve">ORCL (DCA 的驚人勝率)：值得注意的是，ORCL 的定期定額 (Fair DCA) 在 30 </w:t>
      </w:r>
      <w:proofErr w:type="gramStart"/>
      <w:r w:rsidRPr="000719D2">
        <w:rPr>
          <w:rFonts w:ascii="標楷體" w:eastAsia="標楷體" w:hAnsi="標楷體" w:cs="Arial Unicode MS"/>
          <w:sz w:val="24"/>
          <w:szCs w:val="24"/>
        </w:rPr>
        <w:t>個</w:t>
      </w:r>
      <w:proofErr w:type="gramEnd"/>
      <w:r w:rsidRPr="000719D2">
        <w:rPr>
          <w:rFonts w:ascii="標楷體" w:eastAsia="標楷體" w:hAnsi="標楷體" w:cs="Arial Unicode MS"/>
          <w:sz w:val="24"/>
          <w:szCs w:val="24"/>
        </w:rPr>
        <w:t>驗證視窗中達成了 100%正報酬，顯示該標的</w:t>
      </w:r>
      <w:proofErr w:type="gramStart"/>
      <w:r w:rsidRPr="000719D2">
        <w:rPr>
          <w:rFonts w:ascii="標楷體" w:eastAsia="標楷體" w:hAnsi="標楷體" w:cs="Arial Unicode MS"/>
          <w:sz w:val="24"/>
          <w:szCs w:val="24"/>
        </w:rPr>
        <w:t>的</w:t>
      </w:r>
      <w:proofErr w:type="gramEnd"/>
      <w:r w:rsidRPr="000719D2">
        <w:rPr>
          <w:rFonts w:ascii="標楷體" w:eastAsia="標楷體" w:hAnsi="標楷體" w:cs="Arial Unicode MS"/>
          <w:sz w:val="24"/>
          <w:szCs w:val="24"/>
        </w:rPr>
        <w:t>波動特質極適合透過定期定額來平滑成本，儘管其絕對報酬超越 SPY 的比例依然偏低 (10.0%)。</w:t>
      </w:r>
    </w:p>
    <w:p w:rsidR="00912331" w:rsidRPr="00530D21" w:rsidRDefault="00900F71" w:rsidP="00530D21">
      <w:pPr>
        <w:pStyle w:val="af4"/>
        <w:numPr>
          <w:ilvl w:val="0"/>
          <w:numId w:val="31"/>
        </w:numPr>
        <w:spacing w:after="200"/>
        <w:ind w:leftChars="0" w:left="1418"/>
        <w:rPr>
          <w:rFonts w:ascii="標楷體" w:eastAsia="標楷體" w:hAnsi="標楷體"/>
          <w:sz w:val="24"/>
          <w:szCs w:val="24"/>
        </w:rPr>
      </w:pPr>
      <w:r w:rsidRPr="000719D2">
        <w:rPr>
          <w:rFonts w:ascii="標楷體" w:eastAsia="標楷體" w:hAnsi="標楷體" w:cs="Arial Unicode MS"/>
          <w:sz w:val="24"/>
          <w:szCs w:val="24"/>
        </w:rPr>
        <w:t>MSFT (策略</w:t>
      </w:r>
      <w:proofErr w:type="gramStart"/>
      <w:r w:rsidRPr="000719D2">
        <w:rPr>
          <w:rFonts w:ascii="標楷體" w:eastAsia="標楷體" w:hAnsi="標楷體" w:cs="Arial Unicode MS"/>
          <w:sz w:val="24"/>
          <w:szCs w:val="24"/>
        </w:rPr>
        <w:t>適配性</w:t>
      </w:r>
      <w:proofErr w:type="gramEnd"/>
      <w:r w:rsidRPr="000719D2">
        <w:rPr>
          <w:rFonts w:ascii="標楷體" w:eastAsia="標楷體" w:hAnsi="標楷體" w:cs="Arial Unicode MS"/>
          <w:sz w:val="24"/>
          <w:szCs w:val="24"/>
        </w:rPr>
        <w:t>)：MSFT 的買入持有</w:t>
      </w:r>
      <w:proofErr w:type="gramStart"/>
      <w:r w:rsidRPr="000719D2">
        <w:rPr>
          <w:rFonts w:ascii="標楷體" w:eastAsia="標楷體" w:hAnsi="標楷體" w:cs="Arial Unicode MS"/>
          <w:sz w:val="24"/>
          <w:szCs w:val="24"/>
        </w:rPr>
        <w:t>有</w:t>
      </w:r>
      <w:proofErr w:type="gramEnd"/>
      <w:r w:rsidRPr="000719D2">
        <w:rPr>
          <w:rFonts w:ascii="標楷體" w:eastAsia="標楷體" w:hAnsi="標楷體" w:cs="Arial Unicode MS"/>
          <w:sz w:val="24"/>
          <w:szCs w:val="24"/>
        </w:rPr>
        <w:t xml:space="preserve"> 80% 的機率超越基準；而其 SMA 50/200 策略在時間驗證中展現了良好的</w:t>
      </w:r>
      <w:proofErr w:type="gramStart"/>
      <w:r w:rsidRPr="000719D2">
        <w:rPr>
          <w:rFonts w:ascii="標楷體" w:eastAsia="標楷體" w:hAnsi="標楷體" w:cs="Arial Unicode MS"/>
          <w:sz w:val="24"/>
          <w:szCs w:val="24"/>
        </w:rPr>
        <w:t>適配性</w:t>
      </w:r>
      <w:proofErr w:type="gramEnd"/>
      <w:r w:rsidRPr="000719D2">
        <w:rPr>
          <w:rFonts w:ascii="標楷體" w:eastAsia="標楷體" w:hAnsi="標楷體" w:cs="Arial Unicode MS"/>
          <w:sz w:val="24"/>
          <w:szCs w:val="24"/>
        </w:rPr>
        <w:t>，有56.7% 的視窗超越了 SPY，是少數在樣本外驗證中表現優異的主動策略。</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6.4 時間驗證結論</w:t>
      </w:r>
    </w:p>
    <w:p w:rsidR="00912331" w:rsidRPr="00900F71" w:rsidRDefault="00900F71">
      <w:pPr>
        <w:spacing w:after="200"/>
        <w:ind w:left="708"/>
        <w:rPr>
          <w:rFonts w:ascii="標楷體" w:eastAsia="標楷體" w:hAnsi="標楷體"/>
          <w:sz w:val="24"/>
          <w:szCs w:val="24"/>
        </w:rPr>
      </w:pPr>
      <w:r w:rsidRPr="00900F71">
        <w:rPr>
          <w:rFonts w:ascii="標楷體" w:eastAsia="標楷體" w:hAnsi="標楷體" w:cs="Arial Unicode MS"/>
          <w:sz w:val="24"/>
          <w:szCs w:val="24"/>
        </w:rPr>
        <w:t>本研究的時間驗證結果強調了「全樣本優勢不代表樣本外穩定性」。部分策略雖然在 30 年</w:t>
      </w:r>
      <w:proofErr w:type="gramStart"/>
      <w:r w:rsidRPr="00900F71">
        <w:rPr>
          <w:rFonts w:ascii="標楷體" w:eastAsia="標楷體" w:hAnsi="標楷體" w:cs="Arial Unicode MS"/>
          <w:sz w:val="24"/>
          <w:szCs w:val="24"/>
        </w:rPr>
        <w:t>的總回測</w:t>
      </w:r>
      <w:proofErr w:type="gramEnd"/>
      <w:r w:rsidRPr="00900F71">
        <w:rPr>
          <w:rFonts w:ascii="標楷體" w:eastAsia="標楷體" w:hAnsi="標楷體" w:cs="Arial Unicode MS"/>
          <w:sz w:val="24"/>
          <w:szCs w:val="24"/>
        </w:rPr>
        <w:t>中數據亮眼，但在特定的 5-10年視窗中卻可能表現平庸。</w:t>
      </w:r>
    </w:p>
    <w:p w:rsidR="00912331" w:rsidRPr="00900F71" w:rsidRDefault="00900F71">
      <w:pPr>
        <w:spacing w:after="200"/>
        <w:ind w:left="1275" w:hanging="425"/>
        <w:rPr>
          <w:rFonts w:ascii="標楷體" w:eastAsia="標楷體" w:hAnsi="標楷體"/>
          <w:sz w:val="24"/>
          <w:szCs w:val="24"/>
        </w:rPr>
      </w:pPr>
      <w:r w:rsidRPr="00900F71">
        <w:rPr>
          <w:rFonts w:ascii="標楷體" w:eastAsia="標楷體" w:hAnsi="標楷體" w:cs="Arial Unicode MS"/>
          <w:sz w:val="24"/>
          <w:szCs w:val="24"/>
        </w:rPr>
        <w:t xml:space="preserve">   1. 基準超越的難度：主動策略（SMA）與定期定額在樣本外測試中，超越 SPY 的比例普遍低於 30%，顯示擊敗大盤所需的極高門檻。</w:t>
      </w:r>
    </w:p>
    <w:p w:rsidR="00912331" w:rsidRPr="00900F71" w:rsidRDefault="00900F71">
      <w:pPr>
        <w:spacing w:after="200"/>
        <w:ind w:left="1417" w:hanging="566"/>
        <w:rPr>
          <w:rFonts w:ascii="標楷體" w:eastAsia="標楷體" w:hAnsi="標楷體"/>
          <w:sz w:val="24"/>
          <w:szCs w:val="24"/>
        </w:rPr>
      </w:pPr>
      <w:r w:rsidRPr="00900F71">
        <w:rPr>
          <w:rFonts w:ascii="標楷體" w:eastAsia="標楷體" w:hAnsi="標楷體" w:cs="Arial Unicode MS"/>
          <w:sz w:val="24"/>
          <w:szCs w:val="24"/>
        </w:rPr>
        <w:t xml:space="preserve">   2. 長期持有</w:t>
      </w:r>
      <w:proofErr w:type="gramStart"/>
      <w:r w:rsidRPr="00900F71">
        <w:rPr>
          <w:rFonts w:ascii="標楷體" w:eastAsia="標楷體" w:hAnsi="標楷體" w:cs="Arial Unicode MS"/>
          <w:sz w:val="24"/>
          <w:szCs w:val="24"/>
        </w:rPr>
        <w:t>的底氣</w:t>
      </w:r>
      <w:proofErr w:type="gramEnd"/>
      <w:r w:rsidRPr="00900F71">
        <w:rPr>
          <w:rFonts w:ascii="標楷體" w:eastAsia="標楷體" w:hAnsi="標楷體" w:cs="Arial Unicode MS"/>
          <w:sz w:val="24"/>
          <w:szCs w:val="24"/>
        </w:rPr>
        <w:t>：買入持有策略在平均報酬與超越基準比例上均呈現壓倒性優勢，為實務投資提供了強大的實證支持。</w:t>
      </w:r>
    </w:p>
    <w:p w:rsidR="00912331" w:rsidRPr="000719D2" w:rsidRDefault="00900F71" w:rsidP="000719D2">
      <w:pPr>
        <w:spacing w:after="200"/>
        <w:ind w:left="1417" w:hanging="566"/>
        <w:rPr>
          <w:rFonts w:ascii="標楷體" w:eastAsia="標楷體" w:hAnsi="標楷體"/>
          <w:b/>
          <w:bCs/>
          <w:sz w:val="36"/>
          <w:szCs w:val="36"/>
        </w:rPr>
      </w:pPr>
      <w:r w:rsidRPr="00900F71">
        <w:rPr>
          <w:rFonts w:ascii="標楷體" w:eastAsia="標楷體" w:hAnsi="標楷體" w:cs="Arial Unicode MS"/>
          <w:sz w:val="24"/>
          <w:szCs w:val="24"/>
        </w:rPr>
        <w:t xml:space="preserve">   3. 預防過度樂觀：時間驗證揭示了策略在不同景氣循環下的真實面貌，提醒投資人在評估策略時，應以「中位數報酬」與「超越基準比例」作為比絕對報酬更重要的參考指標。</w:t>
      </w: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配對交易策略深度分析 (Problem 2)</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此部分目的在驗證「配對交易」這一統計套利策略在正式股票母體（MCD, KO, AAPL, MSFT,ORCL）中的有效性。配對交易的核心邏輯在於尋找兩檔走勢高度相關的股票，當其價差 (Spread)偏離歷史平均時進行反向操作，並預期價差最終會</w:t>
      </w:r>
      <w:proofErr w:type="gramStart"/>
      <w:r w:rsidRPr="00900F71">
        <w:rPr>
          <w:rFonts w:ascii="標楷體" w:eastAsia="標楷體" w:hAnsi="標楷體" w:cs="Arial Unicode MS"/>
          <w:sz w:val="24"/>
          <w:szCs w:val="24"/>
        </w:rPr>
        <w:t>回歸均值</w:t>
      </w:r>
      <w:proofErr w:type="gramEnd"/>
      <w:r w:rsidRPr="00900F71">
        <w:rPr>
          <w:rFonts w:ascii="標楷體" w:eastAsia="標楷體" w:hAnsi="標楷體" w:cs="Arial Unicode MS"/>
          <w:sz w:val="24"/>
          <w:szCs w:val="24"/>
        </w:rPr>
        <w:t>。</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7.1 配對標的篩選分析 (Pair Selection)</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標的篩選是配對交易的第一步，本研究採用量化指標進行兩階段篩選：</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1. 篩選機制與範疇：</w:t>
      </w:r>
    </w:p>
    <w:p w:rsidR="00912331" w:rsidRPr="00530D21" w:rsidRDefault="00900F71" w:rsidP="00530D21">
      <w:pPr>
        <w:pStyle w:val="af4"/>
        <w:numPr>
          <w:ilvl w:val="0"/>
          <w:numId w:val="33"/>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排除基準：市場基準 (SPY) 被排除在候選名單外，確保策略利潤來自</w:t>
      </w:r>
      <w:proofErr w:type="gramStart"/>
      <w:r w:rsidRPr="00530D21">
        <w:rPr>
          <w:rFonts w:ascii="標楷體" w:eastAsia="標楷體" w:hAnsi="標楷體" w:cs="Arial Unicode MS"/>
          <w:sz w:val="24"/>
          <w:szCs w:val="24"/>
        </w:rPr>
        <w:t>個股間的相對</w:t>
      </w:r>
      <w:proofErr w:type="gramEnd"/>
      <w:r w:rsidRPr="00530D21">
        <w:rPr>
          <w:rFonts w:ascii="標楷體" w:eastAsia="標楷體" w:hAnsi="標楷體" w:cs="Arial Unicode MS"/>
          <w:sz w:val="24"/>
          <w:szCs w:val="24"/>
        </w:rPr>
        <w:t>價值波動。</w:t>
      </w:r>
    </w:p>
    <w:p w:rsidR="00912331" w:rsidRPr="00530D21" w:rsidRDefault="00900F71" w:rsidP="00530D21">
      <w:pPr>
        <w:pStyle w:val="af4"/>
        <w:numPr>
          <w:ilvl w:val="0"/>
          <w:numId w:val="33"/>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核心指標：採用「訓練期日報酬相關性 (Daily Return Correlation)」作為初選依據。</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2. 篩選結果與候選名單：</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根據全樣本相關性統計，母體中相關性配對如下：</w:t>
      </w:r>
    </w:p>
    <w:p w:rsidR="00912331" w:rsidRPr="00900F71" w:rsidRDefault="00912331">
      <w:pPr>
        <w:spacing w:before="240" w:after="240"/>
        <w:ind w:left="720"/>
        <w:rPr>
          <w:rFonts w:ascii="標楷體" w:eastAsia="標楷體" w:hAnsi="標楷體"/>
          <w:sz w:val="24"/>
          <w:szCs w:val="24"/>
        </w:rPr>
      </w:pPr>
    </w:p>
    <w:tbl>
      <w:tblPr>
        <w:tblStyle w:val="af0"/>
        <w:tblW w:w="4587" w:type="dxa"/>
        <w:jc w:val="center"/>
        <w:tblInd w:w="0" w:type="dxa"/>
        <w:tblLayout w:type="fixed"/>
        <w:tblLook w:val="0600" w:firstRow="0" w:lastRow="0" w:firstColumn="0" w:lastColumn="0" w:noHBand="1" w:noVBand="1"/>
      </w:tblPr>
      <w:tblGrid>
        <w:gridCol w:w="1587"/>
        <w:gridCol w:w="1500"/>
        <w:gridCol w:w="1500"/>
      </w:tblGrid>
      <w:tr w:rsidR="00912331" w:rsidRPr="00900F71" w:rsidTr="00530D21">
        <w:trPr>
          <w:cantSplit/>
          <w:trHeight w:val="283"/>
          <w:jc w:val="center"/>
        </w:trPr>
        <w:tc>
          <w:tcPr>
            <w:tcW w:w="1587" w:type="dxa"/>
            <w:tcBorders>
              <w:top w:val="single" w:sz="5" w:space="0" w:color="434343"/>
              <w:left w:val="single" w:sz="5" w:space="0" w:color="434343"/>
              <w:bottom w:val="single" w:sz="5" w:space="0" w:color="434343"/>
              <w:right w:val="single" w:sz="5" w:space="0" w:color="434343"/>
            </w:tcBorders>
            <w:shd w:val="clear" w:color="auto" w:fill="FFFFFF"/>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Rank</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Pair</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Correlation</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1</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MSFT–ORCL</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0.489</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2</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AAPL–MSFT</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0.429</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3</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MCD–KO</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0.375</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4</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AAPL–ORCL</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0.359</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5</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KO-MSFT</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0.305</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6</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MCD-MSFT</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0.3</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7</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MCD-AAPL</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0.233</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8</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MCD-ORCL</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0.223</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9</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KO-ORCL</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0.204</w:t>
            </w:r>
          </w:p>
        </w:tc>
      </w:tr>
      <w:tr w:rsidR="00912331" w:rsidRPr="00900F71" w:rsidTr="00530D21">
        <w:trPr>
          <w:trHeight w:val="315"/>
          <w:jc w:val="center"/>
        </w:trPr>
        <w:tc>
          <w:tcPr>
            <w:tcW w:w="1587"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10</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KO-AAPL</w:t>
            </w:r>
          </w:p>
        </w:tc>
        <w:tc>
          <w:tcPr>
            <w:tcW w:w="1500" w:type="dxa"/>
            <w:tcBorders>
              <w:top w:val="single" w:sz="5" w:space="0" w:color="434343"/>
              <w:left w:val="single" w:sz="5" w:space="0" w:color="434343"/>
              <w:bottom w:val="single" w:sz="5" w:space="0" w:color="434343"/>
              <w:right w:val="single" w:sz="5" w:space="0" w:color="434343"/>
            </w:tcBorders>
            <w:tcMar>
              <w:top w:w="40" w:type="dxa"/>
              <w:left w:w="40" w:type="dxa"/>
              <w:bottom w:w="40" w:type="dxa"/>
              <w:right w:w="40" w:type="dxa"/>
            </w:tcMar>
            <w:vAlign w:val="center"/>
          </w:tcPr>
          <w:p w:rsidR="00912331" w:rsidRPr="00900F71" w:rsidRDefault="00900F71" w:rsidP="00530D21">
            <w:pPr>
              <w:widowControl w:val="0"/>
              <w:jc w:val="center"/>
              <w:rPr>
                <w:rFonts w:ascii="標楷體" w:eastAsia="標楷體" w:hAnsi="標楷體"/>
                <w:sz w:val="20"/>
                <w:szCs w:val="20"/>
              </w:rPr>
            </w:pPr>
            <w:r w:rsidRPr="00900F71">
              <w:rPr>
                <w:rFonts w:ascii="標楷體" w:eastAsia="標楷體" w:hAnsi="標楷體"/>
                <w:sz w:val="20"/>
                <w:szCs w:val="20"/>
              </w:rPr>
              <w:t>0.199</w:t>
            </w:r>
          </w:p>
        </w:tc>
      </w:tr>
    </w:tbl>
    <w:p w:rsidR="00912331" w:rsidRPr="00900F71" w:rsidRDefault="00912331">
      <w:pPr>
        <w:spacing w:before="240" w:after="240"/>
        <w:ind w:left="720"/>
        <w:rPr>
          <w:rFonts w:ascii="標楷體" w:eastAsia="標楷體" w:hAnsi="標楷體"/>
          <w:sz w:val="24"/>
          <w:szCs w:val="24"/>
        </w:rPr>
      </w:pP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3. 最終選定標的：</w:t>
      </w:r>
    </w:p>
    <w:p w:rsidR="00912331" w:rsidRPr="00900F71" w:rsidRDefault="00900F71" w:rsidP="00530D21">
      <w:pPr>
        <w:pBdr>
          <w:top w:val="nil"/>
          <w:left w:val="nil"/>
          <w:bottom w:val="nil"/>
          <w:right w:val="nil"/>
          <w:between w:val="nil"/>
        </w:pBdr>
        <w:spacing w:before="240" w:after="240"/>
        <w:ind w:left="992"/>
        <w:rPr>
          <w:rFonts w:ascii="標楷體" w:eastAsia="標楷體" w:hAnsi="標楷體"/>
          <w:sz w:val="24"/>
          <w:szCs w:val="24"/>
        </w:rPr>
      </w:pPr>
      <w:r w:rsidRPr="00900F71">
        <w:rPr>
          <w:rFonts w:ascii="標楷體" w:eastAsia="標楷體" w:hAnsi="標楷體" w:cs="Arial Unicode MS"/>
          <w:sz w:val="24"/>
          <w:szCs w:val="24"/>
        </w:rPr>
        <w:t xml:space="preserve">在 30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時間驗證視窗中，系統一致選定 MSFT - ORCL 作為最佳交易配對。儘管在不同歷史時期相關係數有所起伏，但其產業關聯性與走勢同步性使其成為統計套利的最佳候選組合。</w:t>
      </w:r>
    </w:p>
    <w:p w:rsidR="00912331" w:rsidRPr="00900F71" w:rsidRDefault="00900F71">
      <w:pPr>
        <w:pBdr>
          <w:top w:val="nil"/>
          <w:left w:val="nil"/>
          <w:bottom w:val="nil"/>
          <w:right w:val="nil"/>
          <w:between w:val="nil"/>
        </w:pBdr>
        <w:spacing w:before="240" w:after="240"/>
        <w:ind w:left="720"/>
        <w:rPr>
          <w:rFonts w:ascii="標楷體" w:eastAsia="標楷體" w:hAnsi="標楷體"/>
          <w:sz w:val="24"/>
          <w:szCs w:val="24"/>
        </w:rPr>
      </w:pPr>
      <w:r w:rsidRPr="00900F71">
        <w:rPr>
          <w:rFonts w:ascii="標楷體" w:eastAsia="標楷體" w:hAnsi="標楷體"/>
          <w:noProof/>
          <w:sz w:val="24"/>
          <w:szCs w:val="24"/>
        </w:rPr>
        <w:drawing>
          <wp:inline distT="114300" distB="114300" distL="114300" distR="114300" wp14:anchorId="7D58121A" wp14:editId="36BB6D8D">
            <wp:extent cx="5731200" cy="2425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2425700"/>
                    </a:xfrm>
                    <a:prstGeom prst="rect">
                      <a:avLst/>
                    </a:prstGeom>
                    <a:ln/>
                  </pic:spPr>
                </pic:pic>
              </a:graphicData>
            </a:graphic>
          </wp:inline>
        </w:drawing>
      </w:r>
      <w:r w:rsidRPr="00900F71">
        <w:rPr>
          <w:rFonts w:ascii="標楷體" w:eastAsia="標楷體" w:hAnsi="標楷體"/>
          <w:noProof/>
          <w:sz w:val="24"/>
          <w:szCs w:val="24"/>
        </w:rPr>
        <w:drawing>
          <wp:inline distT="114300" distB="114300" distL="114300" distR="114300" wp14:anchorId="4F6688AC" wp14:editId="2B960F25">
            <wp:extent cx="5731200" cy="23749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2374900"/>
                    </a:xfrm>
                    <a:prstGeom prst="rect">
                      <a:avLst/>
                    </a:prstGeom>
                    <a:ln/>
                  </pic:spPr>
                </pic:pic>
              </a:graphicData>
            </a:graphic>
          </wp:inline>
        </w:drawing>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7.2 策略設計與回測邏輯</w:t>
      </w:r>
    </w:p>
    <w:p w:rsidR="00912331" w:rsidRPr="00530D21" w:rsidRDefault="00900F71" w:rsidP="00530D21">
      <w:pPr>
        <w:pStyle w:val="af4"/>
        <w:numPr>
          <w:ilvl w:val="0"/>
          <w:numId w:val="34"/>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信號生成：採用 60 日滾動視窗計算價差</w:t>
      </w:r>
      <w:proofErr w:type="gramStart"/>
      <w:r w:rsidRPr="00530D21">
        <w:rPr>
          <w:rFonts w:ascii="標楷體" w:eastAsia="標楷體" w:hAnsi="標楷體" w:cs="Arial Unicode MS"/>
          <w:sz w:val="24"/>
          <w:szCs w:val="24"/>
        </w:rPr>
        <w:t>之均值與</w:t>
      </w:r>
      <w:proofErr w:type="gramEnd"/>
      <w:r w:rsidRPr="00530D21">
        <w:rPr>
          <w:rFonts w:ascii="標楷體" w:eastAsia="標楷體" w:hAnsi="標楷體" w:cs="Arial Unicode MS"/>
          <w:sz w:val="24"/>
          <w:szCs w:val="24"/>
        </w:rPr>
        <w:t>標準差，據此求得 Z-score。</w:t>
      </w:r>
    </w:p>
    <w:p w:rsidR="00912331" w:rsidRPr="00530D21" w:rsidRDefault="00900F71" w:rsidP="00530D21">
      <w:pPr>
        <w:pStyle w:val="af4"/>
        <w:numPr>
          <w:ilvl w:val="0"/>
          <w:numId w:val="34"/>
        </w:numPr>
        <w:pBdr>
          <w:top w:val="nil"/>
          <w:left w:val="nil"/>
          <w:bottom w:val="nil"/>
          <w:right w:val="nil"/>
          <w:between w:val="nil"/>
        </w:pBdr>
        <w:ind w:leftChars="0"/>
        <w:rPr>
          <w:rFonts w:ascii="標楷體" w:eastAsia="標楷體" w:hAnsi="標楷體"/>
          <w:sz w:val="24"/>
          <w:szCs w:val="24"/>
        </w:rPr>
      </w:pPr>
      <w:r w:rsidRPr="00530D21">
        <w:rPr>
          <w:rFonts w:ascii="標楷體" w:eastAsia="標楷體" w:hAnsi="標楷體" w:cs="Arial Unicode MS"/>
          <w:sz w:val="24"/>
          <w:szCs w:val="24"/>
        </w:rPr>
        <w:t xml:space="preserve">進出場規則：當 </w:t>
      </w:r>
      <w:r w:rsidRPr="00530D21">
        <w:rPr>
          <w:rFonts w:ascii="標楷體" w:eastAsia="標楷體" w:hAnsi="標楷體" w:cs="Arial Unicode MS"/>
          <w:b/>
          <w:bCs/>
          <w:sz w:val="24"/>
          <w:szCs w:val="24"/>
        </w:rPr>
        <w:t xml:space="preserve">|Z| </w:t>
      </w:r>
      <w:r w:rsidRPr="00530D21">
        <w:rPr>
          <w:rFonts w:ascii="Times New Roman" w:eastAsia="標楷體" w:hAnsi="Times New Roman" w:cs="Times New Roman"/>
          <w:b/>
          <w:bCs/>
          <w:sz w:val="24"/>
          <w:szCs w:val="24"/>
        </w:rPr>
        <w:t>≥</w:t>
      </w:r>
      <w:r w:rsidRPr="00530D21">
        <w:rPr>
          <w:rFonts w:ascii="標楷體" w:eastAsia="標楷體" w:hAnsi="標楷體" w:cs="Arial Unicode MS"/>
          <w:b/>
          <w:bCs/>
          <w:sz w:val="24"/>
          <w:szCs w:val="24"/>
        </w:rPr>
        <w:t xml:space="preserve"> 2</w:t>
      </w:r>
      <w:r w:rsidRPr="00530D21">
        <w:rPr>
          <w:rFonts w:ascii="標楷體" w:eastAsia="標楷體" w:hAnsi="標楷體" w:cs="Arial Unicode MS"/>
          <w:sz w:val="24"/>
          <w:szCs w:val="24"/>
        </w:rPr>
        <w:t xml:space="preserve"> 時進場（做多低估標的、做空高估標的）；當</w:t>
      </w:r>
      <w:r w:rsidRPr="00530D21">
        <w:rPr>
          <w:rFonts w:ascii="標楷體" w:eastAsia="標楷體" w:hAnsi="標楷體"/>
          <w:b/>
          <w:bCs/>
          <w:sz w:val="24"/>
          <w:szCs w:val="24"/>
        </w:rPr>
        <w:t>|Z| &lt; 0.5</w:t>
      </w:r>
      <w:r w:rsidRPr="00530D21">
        <w:rPr>
          <w:rFonts w:ascii="標楷體" w:eastAsia="標楷體" w:hAnsi="標楷體" w:cs="Arial Unicode MS"/>
          <w:sz w:val="24"/>
          <w:szCs w:val="24"/>
        </w:rPr>
        <w:t xml:space="preserve"> 時平倉獲利了結。</w:t>
      </w:r>
    </w:p>
    <w:p w:rsidR="00912331" w:rsidRPr="00530D21" w:rsidRDefault="00900F71" w:rsidP="00530D21">
      <w:pPr>
        <w:pStyle w:val="af4"/>
        <w:numPr>
          <w:ilvl w:val="0"/>
          <w:numId w:val="34"/>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部位配置：採取市場中性設定，資金 50% 配置於多頭部位，50% 配置於空頭部位。</w:t>
      </w:r>
    </w:p>
    <w:p w:rsidR="00912331" w:rsidRPr="00900F71" w:rsidRDefault="00900F71">
      <w:pPr>
        <w:pBdr>
          <w:top w:val="nil"/>
          <w:left w:val="nil"/>
          <w:bottom w:val="nil"/>
          <w:right w:val="nil"/>
          <w:between w:val="nil"/>
        </w:pBdr>
        <w:spacing w:before="240" w:after="240"/>
        <w:ind w:firstLine="566"/>
        <w:rPr>
          <w:rFonts w:ascii="標楷體" w:eastAsia="標楷體" w:hAnsi="標楷體"/>
          <w:b/>
          <w:bCs/>
          <w:sz w:val="24"/>
          <w:szCs w:val="24"/>
        </w:rPr>
      </w:pPr>
      <w:r w:rsidRPr="00900F71">
        <w:rPr>
          <w:rFonts w:ascii="標楷體" w:eastAsia="標楷體" w:hAnsi="標楷體"/>
          <w:b/>
          <w:bCs/>
          <w:sz w:val="24"/>
          <w:szCs w:val="24"/>
        </w:rPr>
        <w:t xml:space="preserve">  </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7.3 配對交易回測結果分析</w:t>
      </w:r>
    </w:p>
    <w:p w:rsidR="00912331" w:rsidRPr="00900F71" w:rsidRDefault="00900F71">
      <w:pPr>
        <w:pBdr>
          <w:top w:val="nil"/>
          <w:left w:val="nil"/>
          <w:bottom w:val="nil"/>
          <w:right w:val="nil"/>
          <w:between w:val="nil"/>
        </w:pBdr>
        <w:spacing w:before="240" w:after="240"/>
        <w:ind w:left="850"/>
        <w:rPr>
          <w:rFonts w:ascii="標楷體" w:eastAsia="標楷體" w:hAnsi="標楷體"/>
          <w:sz w:val="24"/>
          <w:szCs w:val="24"/>
        </w:rPr>
      </w:pPr>
      <w:r w:rsidRPr="00900F71">
        <w:rPr>
          <w:rFonts w:ascii="標楷體" w:eastAsia="標楷體" w:hAnsi="標楷體" w:cs="Arial Unicode MS"/>
          <w:sz w:val="24"/>
          <w:szCs w:val="24"/>
        </w:rPr>
        <w:t xml:space="preserve">透過 30 </w:t>
      </w:r>
      <w:proofErr w:type="gramStart"/>
      <w:r w:rsidRPr="00900F71">
        <w:rPr>
          <w:rFonts w:ascii="標楷體" w:eastAsia="標楷體" w:hAnsi="標楷體" w:cs="Arial Unicode MS"/>
          <w:sz w:val="24"/>
          <w:szCs w:val="24"/>
        </w:rPr>
        <w:t>個</w:t>
      </w:r>
      <w:proofErr w:type="gramEnd"/>
      <w:r w:rsidRPr="00900F71">
        <w:rPr>
          <w:rFonts w:ascii="標楷體" w:eastAsia="標楷體" w:hAnsi="標楷體" w:cs="Arial Unicode MS"/>
          <w:sz w:val="24"/>
          <w:szCs w:val="24"/>
        </w:rPr>
        <w:t>擴增視窗 (Expanding Windows) 的樣本外驗證，實證數據揭示了該策略在真實環境下的表現：</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1. 報酬績效指標：</w:t>
      </w:r>
    </w:p>
    <w:p w:rsidR="00912331" w:rsidRPr="00530D21" w:rsidRDefault="00900F71" w:rsidP="00530D21">
      <w:pPr>
        <w:pStyle w:val="af4"/>
        <w:numPr>
          <w:ilvl w:val="0"/>
          <w:numId w:val="35"/>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平均年化報酬率：1.26%。</w:t>
      </w:r>
    </w:p>
    <w:p w:rsidR="00912331" w:rsidRPr="00530D21" w:rsidRDefault="00900F71" w:rsidP="00530D21">
      <w:pPr>
        <w:pStyle w:val="af4"/>
        <w:numPr>
          <w:ilvl w:val="0"/>
          <w:numId w:val="35"/>
        </w:numPr>
        <w:pBdr>
          <w:top w:val="nil"/>
          <w:left w:val="nil"/>
          <w:bottom w:val="nil"/>
          <w:right w:val="nil"/>
          <w:between w:val="nil"/>
        </w:pBdr>
        <w:ind w:leftChars="0"/>
        <w:rPr>
          <w:rFonts w:ascii="標楷體" w:eastAsia="標楷體" w:hAnsi="標楷體"/>
          <w:sz w:val="24"/>
          <w:szCs w:val="24"/>
        </w:rPr>
      </w:pPr>
      <w:r w:rsidRPr="00530D21">
        <w:rPr>
          <w:rFonts w:ascii="標楷體" w:eastAsia="標楷體" w:hAnsi="標楷體" w:cs="Arial Unicode MS"/>
          <w:sz w:val="24"/>
          <w:szCs w:val="24"/>
        </w:rPr>
        <w:t>中位數年化報酬率：-0.23%。</w:t>
      </w:r>
    </w:p>
    <w:p w:rsidR="00912331" w:rsidRPr="00530D21" w:rsidRDefault="00900F71" w:rsidP="00530D21">
      <w:pPr>
        <w:pStyle w:val="af4"/>
        <w:numPr>
          <w:ilvl w:val="0"/>
          <w:numId w:val="35"/>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平均夏普值：0.15。</w:t>
      </w:r>
    </w:p>
    <w:p w:rsidR="00912331" w:rsidRPr="00900F71" w:rsidRDefault="00900F71">
      <w:pPr>
        <w:pBdr>
          <w:top w:val="nil"/>
          <w:left w:val="nil"/>
          <w:bottom w:val="nil"/>
          <w:right w:val="nil"/>
          <w:between w:val="nil"/>
        </w:pBdr>
        <w:spacing w:before="240" w:after="240"/>
        <w:ind w:left="1133"/>
        <w:rPr>
          <w:rFonts w:ascii="標楷體" w:eastAsia="標楷體" w:hAnsi="標楷體"/>
          <w:sz w:val="24"/>
          <w:szCs w:val="24"/>
        </w:rPr>
      </w:pPr>
      <w:r w:rsidRPr="00900F71">
        <w:rPr>
          <w:rFonts w:ascii="標楷體" w:eastAsia="標楷體" w:hAnsi="標楷體" w:cs="Arial Unicode MS"/>
          <w:sz w:val="24"/>
          <w:szCs w:val="24"/>
        </w:rPr>
        <w:t>數據顯示，該策略在扣除時間成本後幾乎無利可圖。中位數報酬為負，代表在過半數的測試期間內，投資者是面臨虧損的。</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2. 極端風險分析 (Tail Risk)：</w:t>
      </w:r>
    </w:p>
    <w:p w:rsidR="00912331" w:rsidRPr="00530D21" w:rsidRDefault="00900F71" w:rsidP="00530D21">
      <w:pPr>
        <w:pStyle w:val="af4"/>
        <w:numPr>
          <w:ilvl w:val="0"/>
          <w:numId w:val="36"/>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平均</w:t>
      </w:r>
      <w:proofErr w:type="gramStart"/>
      <w:r w:rsidRPr="00530D21">
        <w:rPr>
          <w:rFonts w:ascii="標楷體" w:eastAsia="標楷體" w:hAnsi="標楷體" w:cs="Arial Unicode MS"/>
          <w:sz w:val="24"/>
          <w:szCs w:val="24"/>
        </w:rPr>
        <w:t>最大回撤</w:t>
      </w:r>
      <w:proofErr w:type="gramEnd"/>
      <w:r w:rsidRPr="00530D21">
        <w:rPr>
          <w:rFonts w:ascii="標楷體" w:eastAsia="標楷體" w:hAnsi="標楷體" w:cs="Arial Unicode MS"/>
          <w:sz w:val="24"/>
          <w:szCs w:val="24"/>
        </w:rPr>
        <w:t xml:space="preserve"> (MDD)：-46.58%。</w:t>
      </w:r>
    </w:p>
    <w:p w:rsidR="00912331" w:rsidRPr="00530D21" w:rsidRDefault="00900F71" w:rsidP="00530D21">
      <w:pPr>
        <w:pStyle w:val="af4"/>
        <w:numPr>
          <w:ilvl w:val="0"/>
          <w:numId w:val="36"/>
        </w:numPr>
        <w:pBdr>
          <w:top w:val="nil"/>
          <w:left w:val="nil"/>
          <w:bottom w:val="nil"/>
          <w:right w:val="nil"/>
          <w:between w:val="nil"/>
        </w:pBdr>
        <w:ind w:leftChars="0"/>
        <w:rPr>
          <w:rFonts w:ascii="標楷體" w:eastAsia="標楷體" w:hAnsi="標楷體"/>
          <w:sz w:val="24"/>
          <w:szCs w:val="24"/>
        </w:rPr>
      </w:pPr>
      <w:r w:rsidRPr="00530D21">
        <w:rPr>
          <w:rFonts w:ascii="標楷體" w:eastAsia="標楷體" w:hAnsi="標楷體" w:cs="Arial Unicode MS"/>
          <w:sz w:val="24"/>
          <w:szCs w:val="24"/>
        </w:rPr>
        <w:t>極端最大</w:t>
      </w:r>
      <w:proofErr w:type="gramStart"/>
      <w:r w:rsidRPr="00530D21">
        <w:rPr>
          <w:rFonts w:ascii="標楷體" w:eastAsia="標楷體" w:hAnsi="標楷體" w:cs="Arial Unicode MS"/>
          <w:sz w:val="24"/>
          <w:szCs w:val="24"/>
        </w:rPr>
        <w:t>回撤：</w:t>
      </w:r>
      <w:proofErr w:type="gramEnd"/>
      <w:r w:rsidRPr="00530D21">
        <w:rPr>
          <w:rFonts w:ascii="標楷體" w:eastAsia="標楷體" w:hAnsi="標楷體" w:cs="Arial Unicode MS"/>
          <w:sz w:val="24"/>
          <w:szCs w:val="24"/>
        </w:rPr>
        <w:t>曾出現高達 -115.35% 的驚人紀錄。</w:t>
      </w:r>
    </w:p>
    <w:p w:rsidR="00912331" w:rsidRPr="00530D21" w:rsidRDefault="00900F71" w:rsidP="00530D21">
      <w:pPr>
        <w:pStyle w:val="af4"/>
        <w:numPr>
          <w:ilvl w:val="0"/>
          <w:numId w:val="36"/>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風險解讀：在未考慮保證金控管的模擬中，出現超過 -100%</w:t>
      </w:r>
      <w:proofErr w:type="gramStart"/>
      <w:r w:rsidRPr="00530D21">
        <w:rPr>
          <w:rFonts w:ascii="標楷體" w:eastAsia="標楷體" w:hAnsi="標楷體" w:cs="Arial Unicode MS"/>
          <w:sz w:val="24"/>
          <w:szCs w:val="24"/>
        </w:rPr>
        <w:t>的回撤代表</w:t>
      </w:r>
      <w:proofErr w:type="gramEnd"/>
      <w:r w:rsidRPr="00530D21">
        <w:rPr>
          <w:rFonts w:ascii="標楷體" w:eastAsia="標楷體" w:hAnsi="標楷體" w:cs="Arial Unicode MS"/>
          <w:sz w:val="24"/>
          <w:szCs w:val="24"/>
        </w:rPr>
        <w:t>帳戶淨值已歸零甚至為負。這證明了當兩檔股票走勢產生強烈發散 (Divergence)而不回歸時，傳統的配對交易將面臨毀滅性的損失。</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7.4 配對交易結論與建議</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 xml:space="preserve">  綜合以上分析，本研究得出以下針對配對交易的關鍵結論：</w:t>
      </w:r>
    </w:p>
    <w:p w:rsidR="00912331" w:rsidRPr="00900F71" w:rsidRDefault="00900F71">
      <w:pPr>
        <w:pBdr>
          <w:top w:val="nil"/>
          <w:left w:val="nil"/>
          <w:bottom w:val="nil"/>
          <w:right w:val="nil"/>
          <w:between w:val="nil"/>
        </w:pBdr>
        <w:spacing w:before="240" w:after="240"/>
        <w:ind w:left="1275" w:hanging="425"/>
        <w:rPr>
          <w:rFonts w:ascii="標楷體" w:eastAsia="標楷體" w:hAnsi="標楷體"/>
          <w:sz w:val="24"/>
          <w:szCs w:val="24"/>
        </w:rPr>
      </w:pPr>
      <w:r w:rsidRPr="00900F71">
        <w:rPr>
          <w:rFonts w:ascii="標楷體" w:eastAsia="標楷體" w:hAnsi="標楷體" w:cs="Arial Unicode MS"/>
          <w:sz w:val="24"/>
          <w:szCs w:val="24"/>
        </w:rPr>
        <w:t xml:space="preserve">   1. 相關性不等於可交易性：單純依靠相關係數 (Correlation)篩選標的是不足夠的。相關性僅代表兩者同步變動，而配對交易獲利的基礎是「共整合(</w:t>
      </w:r>
      <w:proofErr w:type="spellStart"/>
      <w:r w:rsidRPr="00900F71">
        <w:rPr>
          <w:rFonts w:ascii="標楷體" w:eastAsia="標楷體" w:hAnsi="標楷體" w:cs="Arial Unicode MS"/>
          <w:sz w:val="24"/>
          <w:szCs w:val="24"/>
        </w:rPr>
        <w:t>Cointegration</w:t>
      </w:r>
      <w:proofErr w:type="spellEnd"/>
      <w:r w:rsidRPr="00900F71">
        <w:rPr>
          <w:rFonts w:ascii="標楷體" w:eastAsia="標楷體" w:hAnsi="標楷體" w:cs="Arial Unicode MS"/>
          <w:sz w:val="24"/>
          <w:szCs w:val="24"/>
        </w:rPr>
        <w:t>)」，即兩者之間的長期穩定均衡關係。</w:t>
      </w:r>
    </w:p>
    <w:p w:rsidR="00912331" w:rsidRPr="00900F71" w:rsidRDefault="00900F71">
      <w:pPr>
        <w:pBdr>
          <w:top w:val="nil"/>
          <w:left w:val="nil"/>
          <w:bottom w:val="nil"/>
          <w:right w:val="nil"/>
          <w:between w:val="nil"/>
        </w:pBdr>
        <w:spacing w:before="240" w:after="240"/>
        <w:ind w:left="1417" w:hanging="425"/>
        <w:rPr>
          <w:rFonts w:ascii="標楷體" w:eastAsia="標楷體" w:hAnsi="標楷體"/>
          <w:sz w:val="24"/>
          <w:szCs w:val="24"/>
        </w:rPr>
      </w:pPr>
      <w:r w:rsidRPr="00900F71">
        <w:rPr>
          <w:rFonts w:ascii="標楷體" w:eastAsia="標楷體" w:hAnsi="標楷體" w:cs="Arial Unicode MS"/>
          <w:sz w:val="24"/>
          <w:szCs w:val="24"/>
        </w:rPr>
        <w:t xml:space="preserve">   2. 市場中立不代表無風險：雖然配對交易能抵銷大盤波動，但卻引發了嚴重的「發散風險」。在沒有停損機制的情況下，單一配對的發散足以導致整體投資組合破產。</w:t>
      </w:r>
    </w:p>
    <w:p w:rsidR="00912331" w:rsidRPr="00900F71" w:rsidRDefault="00900F71">
      <w:pPr>
        <w:pBdr>
          <w:top w:val="nil"/>
          <w:left w:val="nil"/>
          <w:bottom w:val="nil"/>
          <w:right w:val="nil"/>
          <w:between w:val="nil"/>
        </w:pBdr>
        <w:spacing w:before="240" w:after="240"/>
        <w:ind w:left="425" w:firstLine="570"/>
        <w:rPr>
          <w:rFonts w:ascii="標楷體" w:eastAsia="標楷體" w:hAnsi="標楷體"/>
          <w:sz w:val="24"/>
          <w:szCs w:val="24"/>
        </w:rPr>
      </w:pPr>
      <w:r w:rsidRPr="00900F71">
        <w:rPr>
          <w:rFonts w:ascii="標楷體" w:eastAsia="標楷體" w:hAnsi="標楷體" w:cs="Arial Unicode MS"/>
          <w:sz w:val="24"/>
          <w:szCs w:val="24"/>
        </w:rPr>
        <w:t xml:space="preserve">   3. 策略改進方向：</w:t>
      </w:r>
    </w:p>
    <w:p w:rsidR="00912331" w:rsidRPr="00530D21" w:rsidRDefault="00900F71" w:rsidP="00530D21">
      <w:pPr>
        <w:pStyle w:val="af4"/>
        <w:numPr>
          <w:ilvl w:val="0"/>
          <w:numId w:val="37"/>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優化篩選：應引入共整合檢定與 OLS Hedge Ratio 以提高價差平穩性。</w:t>
      </w:r>
    </w:p>
    <w:p w:rsidR="00912331" w:rsidRPr="00530D21" w:rsidRDefault="00900F71" w:rsidP="00530D21">
      <w:pPr>
        <w:pStyle w:val="af4"/>
        <w:numPr>
          <w:ilvl w:val="0"/>
          <w:numId w:val="37"/>
        </w:numPr>
        <w:pBdr>
          <w:top w:val="nil"/>
          <w:left w:val="nil"/>
          <w:bottom w:val="nil"/>
          <w:right w:val="nil"/>
          <w:between w:val="nil"/>
        </w:pBdr>
        <w:ind w:leftChars="0"/>
        <w:rPr>
          <w:rFonts w:ascii="標楷體" w:eastAsia="標楷體" w:hAnsi="標楷體"/>
          <w:sz w:val="24"/>
          <w:szCs w:val="24"/>
        </w:rPr>
      </w:pPr>
      <w:proofErr w:type="gramStart"/>
      <w:r w:rsidRPr="00530D21">
        <w:rPr>
          <w:rFonts w:ascii="標楷體" w:eastAsia="標楷體" w:hAnsi="標楷體" w:cs="Arial Unicode MS"/>
          <w:sz w:val="24"/>
          <w:szCs w:val="24"/>
        </w:rPr>
        <w:t>強化風控</w:t>
      </w:r>
      <w:proofErr w:type="gramEnd"/>
      <w:r w:rsidRPr="00530D21">
        <w:rPr>
          <w:rFonts w:ascii="標楷體" w:eastAsia="標楷體" w:hAnsi="標楷體" w:cs="Arial Unicode MS"/>
          <w:sz w:val="24"/>
          <w:szCs w:val="24"/>
        </w:rPr>
        <w:t>：必須加入強制平倉門檻 (Stop-loss) 與動態保證金管理。</w:t>
      </w:r>
    </w:p>
    <w:p w:rsidR="00912331" w:rsidRPr="00530D21" w:rsidRDefault="00900F71" w:rsidP="00530D21">
      <w:pPr>
        <w:pStyle w:val="af4"/>
        <w:numPr>
          <w:ilvl w:val="0"/>
          <w:numId w:val="37"/>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摩擦成本納入：未來應考慮借</w:t>
      </w:r>
      <w:proofErr w:type="gramStart"/>
      <w:r w:rsidRPr="00530D21">
        <w:rPr>
          <w:rFonts w:ascii="標楷體" w:eastAsia="標楷體" w:hAnsi="標楷體" w:cs="Arial Unicode MS"/>
          <w:sz w:val="24"/>
          <w:szCs w:val="24"/>
        </w:rPr>
        <w:t>券</w:t>
      </w:r>
      <w:proofErr w:type="gramEnd"/>
      <w:r w:rsidRPr="00530D21">
        <w:rPr>
          <w:rFonts w:ascii="標楷體" w:eastAsia="標楷體" w:hAnsi="標楷體" w:cs="Arial Unicode MS"/>
          <w:sz w:val="24"/>
          <w:szCs w:val="24"/>
        </w:rPr>
        <w:t xml:space="preserve">成本 (Borrowing Costs) </w:t>
      </w:r>
      <w:proofErr w:type="gramStart"/>
      <w:r w:rsidRPr="00530D21">
        <w:rPr>
          <w:rFonts w:ascii="標楷體" w:eastAsia="標楷體" w:hAnsi="標楷體" w:cs="Arial Unicode MS"/>
          <w:sz w:val="24"/>
          <w:szCs w:val="24"/>
        </w:rPr>
        <w:t>與滑價</w:t>
      </w:r>
      <w:proofErr w:type="gramEnd"/>
      <w:r w:rsidRPr="00530D21">
        <w:rPr>
          <w:rFonts w:ascii="標楷體" w:eastAsia="標楷體" w:hAnsi="標楷體" w:cs="Arial Unicode MS"/>
          <w:sz w:val="24"/>
          <w:szCs w:val="24"/>
        </w:rPr>
        <w:t>，以</w:t>
      </w:r>
      <w:proofErr w:type="gramStart"/>
      <w:r w:rsidRPr="00530D21">
        <w:rPr>
          <w:rFonts w:ascii="標楷體" w:eastAsia="標楷體" w:hAnsi="標楷體" w:cs="Arial Unicode MS"/>
          <w:sz w:val="24"/>
          <w:szCs w:val="24"/>
        </w:rPr>
        <w:t>使回測更</w:t>
      </w:r>
      <w:proofErr w:type="gramEnd"/>
      <w:r w:rsidRPr="00530D21">
        <w:rPr>
          <w:rFonts w:ascii="標楷體" w:eastAsia="標楷體" w:hAnsi="標楷體" w:cs="Arial Unicode MS"/>
          <w:sz w:val="24"/>
          <w:szCs w:val="24"/>
        </w:rPr>
        <w:t>貼近真實市場環境。</w:t>
      </w:r>
    </w:p>
    <w:p w:rsidR="00912331" w:rsidRPr="00900F71" w:rsidRDefault="00900F71">
      <w:pPr>
        <w:pBdr>
          <w:top w:val="nil"/>
          <w:left w:val="nil"/>
          <w:bottom w:val="nil"/>
          <w:right w:val="nil"/>
          <w:between w:val="nil"/>
        </w:pBdr>
        <w:spacing w:before="240" w:after="240"/>
        <w:ind w:firstLine="566"/>
        <w:rPr>
          <w:rFonts w:ascii="標楷體" w:eastAsia="標楷體" w:hAnsi="標楷體"/>
          <w:b/>
          <w:bCs/>
          <w:sz w:val="36"/>
          <w:szCs w:val="36"/>
        </w:rPr>
      </w:pPr>
      <w:r w:rsidRPr="00900F71">
        <w:rPr>
          <w:rFonts w:ascii="標楷體" w:eastAsia="標楷體" w:hAnsi="標楷體" w:cs="Arial Unicode MS"/>
          <w:sz w:val="24"/>
          <w:szCs w:val="24"/>
        </w:rPr>
        <w:t>在本研究的樣本環境下，配對交易策略的表現</w:t>
      </w:r>
      <w:proofErr w:type="gramStart"/>
      <w:r w:rsidRPr="00900F71">
        <w:rPr>
          <w:rFonts w:ascii="標楷體" w:eastAsia="標楷體" w:hAnsi="標楷體" w:cs="Arial Unicode MS"/>
          <w:sz w:val="24"/>
          <w:szCs w:val="24"/>
        </w:rPr>
        <w:t>顯著劣</w:t>
      </w:r>
      <w:proofErr w:type="gramEnd"/>
      <w:r w:rsidRPr="00900F71">
        <w:rPr>
          <w:rFonts w:ascii="標楷體" w:eastAsia="標楷體" w:hAnsi="標楷體" w:cs="Arial Unicode MS"/>
          <w:sz w:val="24"/>
          <w:szCs w:val="24"/>
        </w:rPr>
        <w:t>於「問題</w:t>
      </w:r>
      <w:proofErr w:type="gramStart"/>
      <w:r w:rsidRPr="00900F71">
        <w:rPr>
          <w:rFonts w:ascii="標楷體" w:eastAsia="標楷體" w:hAnsi="標楷體" w:cs="Arial Unicode MS"/>
          <w:sz w:val="24"/>
          <w:szCs w:val="24"/>
        </w:rPr>
        <w:t>一</w:t>
      </w:r>
      <w:proofErr w:type="gramEnd"/>
      <w:r w:rsidRPr="00900F71">
        <w:rPr>
          <w:rFonts w:ascii="標楷體" w:eastAsia="標楷體" w:hAnsi="標楷體" w:cs="Arial Unicode MS"/>
          <w:sz w:val="24"/>
          <w:szCs w:val="24"/>
        </w:rPr>
        <w:t>」中的各類單一股票持有策略，且承擔了不成比例的高風險。</w:t>
      </w: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研究限制</w:t>
      </w:r>
    </w:p>
    <w:p w:rsidR="00912331" w:rsidRPr="00530D21" w:rsidRDefault="00900F71" w:rsidP="00530D21">
      <w:pPr>
        <w:spacing w:after="200"/>
        <w:ind w:firstLine="566"/>
        <w:rPr>
          <w:rFonts w:ascii="標楷體" w:eastAsia="標楷體" w:hAnsi="標楷體"/>
          <w:sz w:val="24"/>
          <w:szCs w:val="24"/>
        </w:rPr>
      </w:pPr>
      <w:r w:rsidRPr="00900F71">
        <w:rPr>
          <w:rFonts w:ascii="標楷體" w:eastAsia="標楷體" w:hAnsi="標楷體" w:cs="Arial Unicode MS"/>
          <w:sz w:val="24"/>
          <w:szCs w:val="24"/>
        </w:rPr>
        <w:t>儘管本研究透過長達 30年的歷史數據對多種策略進行了詳盡的回測，但在解讀結果時，仍需考量以下受限於實驗設定與假設的侷限性：</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8.1 市場摩擦成本之忽略</w:t>
      </w:r>
    </w:p>
    <w:p w:rsidR="00912331" w:rsidRPr="00900F71" w:rsidRDefault="00900F71">
      <w:pPr>
        <w:pBdr>
          <w:top w:val="nil"/>
          <w:left w:val="nil"/>
          <w:bottom w:val="nil"/>
          <w:right w:val="nil"/>
          <w:between w:val="nil"/>
        </w:pBdr>
        <w:spacing w:before="240" w:after="240"/>
        <w:ind w:left="850"/>
        <w:rPr>
          <w:rFonts w:ascii="標楷體" w:eastAsia="標楷體" w:hAnsi="標楷體"/>
          <w:sz w:val="24"/>
          <w:szCs w:val="24"/>
        </w:rPr>
      </w:pPr>
      <w:r w:rsidRPr="00900F71">
        <w:rPr>
          <w:rFonts w:ascii="標楷體" w:eastAsia="標楷體" w:hAnsi="標楷體" w:cs="Arial Unicode MS"/>
          <w:sz w:val="24"/>
          <w:szCs w:val="24"/>
        </w:rPr>
        <w:t>本研究採用的回測模型為「零成本模型」，並未計入以下實務中的必要摩擦成本：</w:t>
      </w:r>
    </w:p>
    <w:p w:rsidR="00912331" w:rsidRPr="00530D21" w:rsidRDefault="00900F71" w:rsidP="00530D21">
      <w:pPr>
        <w:pStyle w:val="af4"/>
        <w:numPr>
          <w:ilvl w:val="0"/>
          <w:numId w:val="38"/>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交易手續費與稅金：頻繁交易的策略（如 SMA 20/60）在現實中會面臨高額的交易成本侵蝕。</w:t>
      </w:r>
    </w:p>
    <w:p w:rsidR="00912331" w:rsidRPr="00530D21" w:rsidRDefault="00900F71" w:rsidP="00530D21">
      <w:pPr>
        <w:pStyle w:val="af4"/>
        <w:numPr>
          <w:ilvl w:val="0"/>
          <w:numId w:val="38"/>
        </w:numPr>
        <w:pBdr>
          <w:top w:val="nil"/>
          <w:left w:val="nil"/>
          <w:bottom w:val="nil"/>
          <w:right w:val="nil"/>
          <w:between w:val="nil"/>
        </w:pBdr>
        <w:ind w:leftChars="0"/>
        <w:rPr>
          <w:rFonts w:ascii="標楷體" w:eastAsia="標楷體" w:hAnsi="標楷體"/>
          <w:sz w:val="24"/>
          <w:szCs w:val="24"/>
        </w:rPr>
      </w:pPr>
      <w:proofErr w:type="gramStart"/>
      <w:r w:rsidRPr="00530D21">
        <w:rPr>
          <w:rFonts w:ascii="標楷體" w:eastAsia="標楷體" w:hAnsi="標楷體" w:cs="Arial Unicode MS"/>
          <w:sz w:val="24"/>
          <w:szCs w:val="24"/>
        </w:rPr>
        <w:t>滑價</w:t>
      </w:r>
      <w:proofErr w:type="gramEnd"/>
      <w:r w:rsidRPr="00530D21">
        <w:rPr>
          <w:rFonts w:ascii="標楷體" w:eastAsia="標楷體" w:hAnsi="標楷體" w:cs="Arial Unicode MS"/>
          <w:sz w:val="24"/>
          <w:szCs w:val="24"/>
        </w:rPr>
        <w:t xml:space="preserve"> (Slippage)：模型假設所有</w:t>
      </w:r>
      <w:proofErr w:type="gramStart"/>
      <w:r w:rsidRPr="00530D21">
        <w:rPr>
          <w:rFonts w:ascii="標楷體" w:eastAsia="標楷體" w:hAnsi="標楷體" w:cs="Arial Unicode MS"/>
          <w:sz w:val="24"/>
          <w:szCs w:val="24"/>
        </w:rPr>
        <w:t>訂單均能以</w:t>
      </w:r>
      <w:proofErr w:type="gramEnd"/>
      <w:r w:rsidRPr="00530D21">
        <w:rPr>
          <w:rFonts w:ascii="標楷體" w:eastAsia="標楷體" w:hAnsi="標楷體" w:cs="Arial Unicode MS"/>
          <w:sz w:val="24"/>
          <w:szCs w:val="24"/>
        </w:rPr>
        <w:t>收盤價成交，忽略了市場大額交易可能產生的價格衝擊與流動性問題。</w:t>
      </w:r>
    </w:p>
    <w:p w:rsidR="00912331" w:rsidRPr="00530D21" w:rsidRDefault="00900F71" w:rsidP="00530D21">
      <w:pPr>
        <w:pStyle w:val="af4"/>
        <w:numPr>
          <w:ilvl w:val="0"/>
          <w:numId w:val="38"/>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借</w:t>
      </w:r>
      <w:proofErr w:type="gramStart"/>
      <w:r w:rsidRPr="00530D21">
        <w:rPr>
          <w:rFonts w:ascii="標楷體" w:eastAsia="標楷體" w:hAnsi="標楷體" w:cs="Arial Unicode MS"/>
          <w:sz w:val="24"/>
          <w:szCs w:val="24"/>
        </w:rPr>
        <w:t>券</w:t>
      </w:r>
      <w:proofErr w:type="gramEnd"/>
      <w:r w:rsidRPr="00530D21">
        <w:rPr>
          <w:rFonts w:ascii="標楷體" w:eastAsia="標楷體" w:hAnsi="標楷體" w:cs="Arial Unicode MS"/>
          <w:sz w:val="24"/>
          <w:szCs w:val="24"/>
        </w:rPr>
        <w:t>成本 (Borrowing Costs)：在配對交易的空頭部位（Short Position）中，實務上需支付借</w:t>
      </w:r>
      <w:proofErr w:type="gramStart"/>
      <w:r w:rsidRPr="00530D21">
        <w:rPr>
          <w:rFonts w:ascii="標楷體" w:eastAsia="標楷體" w:hAnsi="標楷體" w:cs="Arial Unicode MS"/>
          <w:sz w:val="24"/>
          <w:szCs w:val="24"/>
        </w:rPr>
        <w:t>券</w:t>
      </w:r>
      <w:proofErr w:type="gramEnd"/>
      <w:r w:rsidRPr="00530D21">
        <w:rPr>
          <w:rFonts w:ascii="標楷體" w:eastAsia="標楷體" w:hAnsi="標楷體" w:cs="Arial Unicode MS"/>
          <w:sz w:val="24"/>
          <w:szCs w:val="24"/>
        </w:rPr>
        <w:t>利息與手續費，本模型尚未將此持有成本納入計算。</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8.2 執行邏輯</w:t>
      </w:r>
      <w:proofErr w:type="gramStart"/>
      <w:r w:rsidRPr="00900F71">
        <w:rPr>
          <w:rFonts w:ascii="標楷體" w:eastAsia="標楷體" w:hAnsi="標楷體" w:cs="Arial Unicode MS"/>
          <w:b/>
          <w:bCs/>
          <w:sz w:val="24"/>
          <w:szCs w:val="24"/>
        </w:rPr>
        <w:t>之偏誤</w:t>
      </w:r>
      <w:proofErr w:type="gramEnd"/>
      <w:r w:rsidRPr="00900F71">
        <w:rPr>
          <w:rFonts w:ascii="標楷體" w:eastAsia="標楷體" w:hAnsi="標楷體" w:cs="Arial Unicode MS"/>
          <w:b/>
          <w:bCs/>
          <w:sz w:val="24"/>
          <w:szCs w:val="24"/>
        </w:rPr>
        <w:t xml:space="preserve"> (Execution Bias)</w:t>
      </w:r>
    </w:p>
    <w:p w:rsidR="00912331" w:rsidRPr="00530D21" w:rsidRDefault="00900F71" w:rsidP="00530D21">
      <w:pPr>
        <w:pStyle w:val="af4"/>
        <w:numPr>
          <w:ilvl w:val="0"/>
          <w:numId w:val="39"/>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同日收盤執行假設：模型採用同日收盤價 (Same-day close execution)生成訊號並執行交易。在實務中，投資者通常無法在得知收盤價的瞬間完成交易，這可能導致回測結果產生過於樂觀</w:t>
      </w:r>
      <w:proofErr w:type="gramStart"/>
      <w:r w:rsidRPr="00530D21">
        <w:rPr>
          <w:rFonts w:ascii="標楷體" w:eastAsia="標楷體" w:hAnsi="標楷體" w:cs="Arial Unicode MS"/>
          <w:sz w:val="24"/>
          <w:szCs w:val="24"/>
        </w:rPr>
        <w:t>的偏誤</w:t>
      </w:r>
      <w:proofErr w:type="gramEnd"/>
      <w:r w:rsidRPr="00530D21">
        <w:rPr>
          <w:rFonts w:ascii="標楷體" w:eastAsia="標楷體" w:hAnsi="標楷體" w:cs="Arial Unicode MS"/>
          <w:sz w:val="24"/>
          <w:szCs w:val="24"/>
        </w:rPr>
        <w:t>。</w:t>
      </w:r>
    </w:p>
    <w:p w:rsidR="00912331" w:rsidRPr="00530D21" w:rsidRDefault="00900F71" w:rsidP="00530D21">
      <w:pPr>
        <w:pStyle w:val="af4"/>
        <w:numPr>
          <w:ilvl w:val="0"/>
          <w:numId w:val="39"/>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零股交易假設：模型假設資產可被無限分割（Fractional Shares），忽略了實務上以「股」或「手」為最小交易單位的限制。</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8.3 財務假設之簡化</w:t>
      </w:r>
    </w:p>
    <w:p w:rsidR="00912331" w:rsidRPr="00530D21" w:rsidRDefault="00900F71" w:rsidP="00530D21">
      <w:pPr>
        <w:pStyle w:val="af4"/>
        <w:numPr>
          <w:ilvl w:val="0"/>
          <w:numId w:val="40"/>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現金利率與無風險利率：模型假設未投資之剩餘現金不產生任何利息收入，且在計算風險指標時，將無風險利率設為 0%。</w:t>
      </w:r>
    </w:p>
    <w:p w:rsidR="00912331" w:rsidRPr="00530D21" w:rsidRDefault="00900F71" w:rsidP="00530D21">
      <w:pPr>
        <w:pStyle w:val="af4"/>
        <w:numPr>
          <w:ilvl w:val="0"/>
          <w:numId w:val="40"/>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保證金限制與強制平倉：在配對交易的模擬中，並未計入券商對保證金的要求，也未模擬當淨值大幅下跌時可能面臨的強制平倉風險，這解釋了為何回測中會出現超過 -100% 的極端</w:t>
      </w:r>
      <w:proofErr w:type="gramStart"/>
      <w:r w:rsidRPr="00530D21">
        <w:rPr>
          <w:rFonts w:ascii="標楷體" w:eastAsia="標楷體" w:hAnsi="標楷體" w:cs="Arial Unicode MS"/>
          <w:sz w:val="24"/>
          <w:szCs w:val="24"/>
        </w:rPr>
        <w:t>回撤。</w:t>
      </w:r>
      <w:proofErr w:type="gramEnd"/>
    </w:p>
    <w:p w:rsidR="00912331" w:rsidRPr="00900F71" w:rsidRDefault="00900F71">
      <w:pPr>
        <w:pBdr>
          <w:top w:val="nil"/>
          <w:left w:val="nil"/>
          <w:bottom w:val="nil"/>
          <w:right w:val="nil"/>
          <w:between w:val="nil"/>
        </w:pBdr>
        <w:spacing w:before="240" w:after="240"/>
        <w:ind w:firstLine="566"/>
        <w:rPr>
          <w:rFonts w:ascii="標楷體" w:eastAsia="標楷體" w:hAnsi="標楷體"/>
          <w:b/>
          <w:bCs/>
          <w:sz w:val="24"/>
          <w:szCs w:val="24"/>
        </w:rPr>
      </w:pPr>
      <w:r w:rsidRPr="00900F71">
        <w:rPr>
          <w:rFonts w:ascii="標楷體" w:eastAsia="標楷體" w:hAnsi="標楷體"/>
          <w:b/>
          <w:bCs/>
          <w:sz w:val="24"/>
          <w:szCs w:val="24"/>
        </w:rPr>
        <w:t xml:space="preserve"> </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b/>
          <w:bCs/>
          <w:sz w:val="24"/>
          <w:szCs w:val="24"/>
        </w:rPr>
        <w:t xml:space="preserve"> 8.4 統計與模型風險</w:t>
      </w:r>
    </w:p>
    <w:p w:rsidR="00912331" w:rsidRPr="00530D21" w:rsidRDefault="00900F71" w:rsidP="00530D21">
      <w:pPr>
        <w:pStyle w:val="af4"/>
        <w:numPr>
          <w:ilvl w:val="0"/>
          <w:numId w:val="41"/>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樣本規模限制：研究僅涵蓋五檔代表性個股，其結論未必能外推至其他產業或小型標的。</w:t>
      </w:r>
    </w:p>
    <w:p w:rsidR="00912331" w:rsidRPr="00530D21" w:rsidRDefault="00900F71" w:rsidP="00530D21">
      <w:pPr>
        <w:pStyle w:val="af4"/>
        <w:numPr>
          <w:ilvl w:val="0"/>
          <w:numId w:val="41"/>
        </w:numPr>
        <w:pBdr>
          <w:top w:val="nil"/>
          <w:left w:val="nil"/>
          <w:bottom w:val="nil"/>
          <w:right w:val="nil"/>
          <w:between w:val="nil"/>
        </w:pBdr>
        <w:ind w:leftChars="0"/>
        <w:rPr>
          <w:rFonts w:ascii="標楷體" w:eastAsia="標楷體" w:hAnsi="標楷體"/>
          <w:sz w:val="24"/>
          <w:szCs w:val="24"/>
        </w:rPr>
      </w:pPr>
      <w:r w:rsidRPr="00530D21">
        <w:rPr>
          <w:rFonts w:ascii="標楷體" w:eastAsia="標楷體" w:hAnsi="標楷體" w:cs="Arial Unicode MS"/>
          <w:sz w:val="24"/>
          <w:szCs w:val="24"/>
        </w:rPr>
        <w:t>參數固定性：SMA 策略參數為預先定義且固定，未進行步進式 (Walk-forward) 優化，可能無法適應市場特性的改變（Regime Change）。</w:t>
      </w:r>
    </w:p>
    <w:p w:rsidR="00912331" w:rsidRPr="00530D21" w:rsidRDefault="00900F71" w:rsidP="00530D21">
      <w:pPr>
        <w:pStyle w:val="af4"/>
        <w:numPr>
          <w:ilvl w:val="0"/>
          <w:numId w:val="41"/>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相關性之誤導：配對交易僅依賴相關性 (Correlation) 篩選標的，而非統計學上更具獲利保證的共整合性，</w:t>
      </w:r>
      <w:proofErr w:type="gramStart"/>
      <w:r w:rsidRPr="00530D21">
        <w:rPr>
          <w:rFonts w:ascii="標楷體" w:eastAsia="標楷體" w:hAnsi="標楷體" w:cs="Arial Unicode MS"/>
          <w:sz w:val="24"/>
          <w:szCs w:val="24"/>
        </w:rPr>
        <w:t>導致均值回歸</w:t>
      </w:r>
      <w:proofErr w:type="gramEnd"/>
      <w:r w:rsidRPr="00530D21">
        <w:rPr>
          <w:rFonts w:ascii="標楷體" w:eastAsia="標楷體" w:hAnsi="標楷體" w:cs="Arial Unicode MS"/>
          <w:sz w:val="24"/>
          <w:szCs w:val="24"/>
        </w:rPr>
        <w:t>效果不佳。</w:t>
      </w: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未來改進方向</w:t>
      </w:r>
    </w:p>
    <w:p w:rsidR="00912331" w:rsidRPr="00530D21" w:rsidRDefault="00900F71" w:rsidP="00530D21">
      <w:pPr>
        <w:spacing w:after="200"/>
        <w:ind w:firstLine="425"/>
        <w:rPr>
          <w:rFonts w:ascii="標楷體" w:eastAsia="標楷體" w:hAnsi="標楷體"/>
          <w:sz w:val="24"/>
          <w:szCs w:val="24"/>
        </w:rPr>
      </w:pPr>
      <w:r w:rsidRPr="00900F71">
        <w:rPr>
          <w:rFonts w:ascii="標楷體" w:eastAsia="標楷體" w:hAnsi="標楷體" w:cs="Arial Unicode MS"/>
          <w:sz w:val="24"/>
          <w:szCs w:val="24"/>
        </w:rPr>
        <w:t>基於上述研究限制，未來研究可從以下方向進行優化，以提升策略的擬真度與獲利能力：</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9.1 提升回測環境之擬真度</w:t>
      </w:r>
    </w:p>
    <w:p w:rsidR="00912331" w:rsidRPr="00530D21" w:rsidRDefault="00900F71" w:rsidP="00530D21">
      <w:pPr>
        <w:pStyle w:val="af4"/>
        <w:numPr>
          <w:ilvl w:val="0"/>
          <w:numId w:val="42"/>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改</w:t>
      </w:r>
      <w:proofErr w:type="gramStart"/>
      <w:r w:rsidRPr="00530D21">
        <w:rPr>
          <w:rFonts w:ascii="標楷體" w:eastAsia="標楷體" w:hAnsi="標楷體" w:cs="Arial Unicode MS"/>
          <w:sz w:val="24"/>
          <w:szCs w:val="24"/>
        </w:rPr>
        <w:t>採</w:t>
      </w:r>
      <w:proofErr w:type="gramEnd"/>
      <w:r w:rsidRPr="00530D21">
        <w:rPr>
          <w:rFonts w:ascii="標楷體" w:eastAsia="標楷體" w:hAnsi="標楷體" w:cs="Arial Unicode MS"/>
          <w:sz w:val="24"/>
          <w:szCs w:val="24"/>
        </w:rPr>
        <w:t>隔日執行 (Next-day Execution)：將交易訊號的執行</w:t>
      </w:r>
      <w:proofErr w:type="gramStart"/>
      <w:r w:rsidRPr="00530D21">
        <w:rPr>
          <w:rFonts w:ascii="標楷體" w:eastAsia="標楷體" w:hAnsi="標楷體" w:cs="Arial Unicode MS"/>
          <w:sz w:val="24"/>
          <w:szCs w:val="24"/>
        </w:rPr>
        <w:t>時點延至</w:t>
      </w:r>
      <w:proofErr w:type="gramEnd"/>
      <w:r w:rsidRPr="00530D21">
        <w:rPr>
          <w:rFonts w:ascii="標楷體" w:eastAsia="標楷體" w:hAnsi="標楷體" w:cs="Arial Unicode MS"/>
          <w:sz w:val="24"/>
          <w:szCs w:val="24"/>
        </w:rPr>
        <w:t>下一個交易日的開盤，以符合實務中的操作流程，徹底</w:t>
      </w:r>
      <w:proofErr w:type="gramStart"/>
      <w:r w:rsidRPr="00530D21">
        <w:rPr>
          <w:rFonts w:ascii="標楷體" w:eastAsia="標楷體" w:hAnsi="標楷體" w:cs="Arial Unicode MS"/>
          <w:sz w:val="24"/>
          <w:szCs w:val="24"/>
        </w:rPr>
        <w:t>杜絕偏誤</w:t>
      </w:r>
      <w:proofErr w:type="gramEnd"/>
      <w:r w:rsidRPr="00530D21">
        <w:rPr>
          <w:rFonts w:ascii="標楷體" w:eastAsia="標楷體" w:hAnsi="標楷體" w:cs="Arial Unicode MS"/>
          <w:sz w:val="24"/>
          <w:szCs w:val="24"/>
        </w:rPr>
        <w:t>。</w:t>
      </w:r>
    </w:p>
    <w:p w:rsidR="00912331" w:rsidRPr="00530D21" w:rsidRDefault="00900F71" w:rsidP="00530D21">
      <w:pPr>
        <w:pStyle w:val="af4"/>
        <w:numPr>
          <w:ilvl w:val="0"/>
          <w:numId w:val="42"/>
        </w:numPr>
        <w:pBdr>
          <w:top w:val="nil"/>
          <w:left w:val="nil"/>
          <w:bottom w:val="nil"/>
          <w:right w:val="nil"/>
          <w:between w:val="nil"/>
        </w:pBdr>
        <w:ind w:leftChars="0"/>
        <w:rPr>
          <w:rFonts w:ascii="標楷體" w:eastAsia="標楷體" w:hAnsi="標楷體"/>
          <w:sz w:val="24"/>
          <w:szCs w:val="24"/>
        </w:rPr>
      </w:pPr>
      <w:r w:rsidRPr="00530D21">
        <w:rPr>
          <w:rFonts w:ascii="標楷體" w:eastAsia="標楷體" w:hAnsi="標楷體" w:cs="Arial Unicode MS"/>
          <w:sz w:val="24"/>
          <w:szCs w:val="24"/>
        </w:rPr>
        <w:t>建構摩擦成本模型：明確納入固定比例的手續費、</w:t>
      </w:r>
      <w:proofErr w:type="gramStart"/>
      <w:r w:rsidRPr="00530D21">
        <w:rPr>
          <w:rFonts w:ascii="標楷體" w:eastAsia="標楷體" w:hAnsi="標楷體" w:cs="Arial Unicode MS"/>
          <w:sz w:val="24"/>
          <w:szCs w:val="24"/>
        </w:rPr>
        <w:t>浮動滑價模型以及滑價壓力</w:t>
      </w:r>
      <w:proofErr w:type="gramEnd"/>
      <w:r w:rsidRPr="00530D21">
        <w:rPr>
          <w:rFonts w:ascii="標楷體" w:eastAsia="標楷體" w:hAnsi="標楷體" w:cs="Arial Unicode MS"/>
          <w:sz w:val="24"/>
          <w:szCs w:val="24"/>
        </w:rPr>
        <w:t>測試，評估策略在不同成本環境下的存續能力。</w:t>
      </w:r>
    </w:p>
    <w:p w:rsidR="00912331" w:rsidRPr="00530D21" w:rsidRDefault="00900F71" w:rsidP="00530D21">
      <w:pPr>
        <w:pStyle w:val="af4"/>
        <w:numPr>
          <w:ilvl w:val="0"/>
          <w:numId w:val="42"/>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模擬借</w:t>
      </w:r>
      <w:proofErr w:type="gramStart"/>
      <w:r w:rsidRPr="00530D21">
        <w:rPr>
          <w:rFonts w:ascii="標楷體" w:eastAsia="標楷體" w:hAnsi="標楷體" w:cs="Arial Unicode MS"/>
          <w:sz w:val="24"/>
          <w:szCs w:val="24"/>
        </w:rPr>
        <w:t>券</w:t>
      </w:r>
      <w:proofErr w:type="gramEnd"/>
      <w:r w:rsidRPr="00530D21">
        <w:rPr>
          <w:rFonts w:ascii="標楷體" w:eastAsia="標楷體" w:hAnsi="標楷體" w:cs="Arial Unicode MS"/>
          <w:sz w:val="24"/>
          <w:szCs w:val="24"/>
        </w:rPr>
        <w:t>與保證金機制：針對長短倉策略，加入實務的利息計費規則與保證金監控邏輯，計算更真實的資產淨值與最大</w:t>
      </w:r>
      <w:proofErr w:type="gramStart"/>
      <w:r w:rsidRPr="00530D21">
        <w:rPr>
          <w:rFonts w:ascii="標楷體" w:eastAsia="標楷體" w:hAnsi="標楷體" w:cs="Arial Unicode MS"/>
          <w:sz w:val="24"/>
          <w:szCs w:val="24"/>
        </w:rPr>
        <w:t>回撤。</w:t>
      </w:r>
      <w:proofErr w:type="gramEnd"/>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9.2 優化策略選擇與參數調整</w:t>
      </w:r>
    </w:p>
    <w:p w:rsidR="00912331" w:rsidRPr="00530D21" w:rsidRDefault="00900F71" w:rsidP="00530D21">
      <w:pPr>
        <w:pStyle w:val="af4"/>
        <w:numPr>
          <w:ilvl w:val="0"/>
          <w:numId w:val="43"/>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引入步進式參數優化 (Walk-forward Analysis)：針對 SMA等技術指標，透過滾動式訓練期尋找</w:t>
      </w:r>
      <w:proofErr w:type="gramStart"/>
      <w:r w:rsidRPr="00530D21">
        <w:rPr>
          <w:rFonts w:ascii="標楷體" w:eastAsia="標楷體" w:hAnsi="標楷體" w:cs="Arial Unicode MS"/>
          <w:sz w:val="24"/>
          <w:szCs w:val="24"/>
        </w:rPr>
        <w:t>最</w:t>
      </w:r>
      <w:proofErr w:type="gramEnd"/>
      <w:r w:rsidRPr="00530D21">
        <w:rPr>
          <w:rFonts w:ascii="標楷體" w:eastAsia="標楷體" w:hAnsi="標楷體" w:cs="Arial Unicode MS"/>
          <w:sz w:val="24"/>
          <w:szCs w:val="24"/>
        </w:rPr>
        <w:t>適參數，使策略具備動態調整能力。</w:t>
      </w:r>
    </w:p>
    <w:p w:rsidR="00912331" w:rsidRPr="00530D21" w:rsidRDefault="00900F71" w:rsidP="00530D21">
      <w:pPr>
        <w:pStyle w:val="af4"/>
        <w:numPr>
          <w:ilvl w:val="0"/>
          <w:numId w:val="43"/>
        </w:numPr>
        <w:pBdr>
          <w:top w:val="nil"/>
          <w:left w:val="nil"/>
          <w:bottom w:val="nil"/>
          <w:right w:val="nil"/>
          <w:between w:val="nil"/>
        </w:pBdr>
        <w:ind w:leftChars="0"/>
        <w:rPr>
          <w:rFonts w:ascii="標楷體" w:eastAsia="標楷體" w:hAnsi="標楷體"/>
          <w:sz w:val="24"/>
          <w:szCs w:val="24"/>
        </w:rPr>
      </w:pPr>
      <w:r w:rsidRPr="00530D21">
        <w:rPr>
          <w:rFonts w:ascii="標楷體" w:eastAsia="標楷體" w:hAnsi="標楷體" w:cs="Arial Unicode MS"/>
          <w:sz w:val="24"/>
          <w:szCs w:val="24"/>
        </w:rPr>
        <w:t>擴大標的母體與產業範圍：納入更多不同產業類別的個股或產業 ETF，並增加等權重投資組合 (Equal-weight Portfolio)作為進階的基準對比。</w:t>
      </w:r>
    </w:p>
    <w:p w:rsidR="00912331" w:rsidRPr="00530D21" w:rsidRDefault="00900F71" w:rsidP="00530D21">
      <w:pPr>
        <w:pStyle w:val="af4"/>
        <w:numPr>
          <w:ilvl w:val="0"/>
          <w:numId w:val="43"/>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納入風險管理規則：在策略中強制加入停損 (Stop-loss) 與動態部位控管 (Position Sizing)，以防止如配對交易中出現的毀滅性虧損。</w:t>
      </w: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9.3 精進配對交易之統計模型</w:t>
      </w:r>
    </w:p>
    <w:p w:rsidR="00912331" w:rsidRPr="00530D21" w:rsidRDefault="00900F71" w:rsidP="00530D21">
      <w:pPr>
        <w:pStyle w:val="af4"/>
        <w:numPr>
          <w:ilvl w:val="0"/>
          <w:numId w:val="44"/>
        </w:numPr>
        <w:pBdr>
          <w:top w:val="nil"/>
          <w:left w:val="nil"/>
          <w:bottom w:val="nil"/>
          <w:right w:val="nil"/>
          <w:between w:val="nil"/>
        </w:pBdr>
        <w:spacing w:before="240"/>
        <w:ind w:leftChars="0"/>
        <w:rPr>
          <w:rFonts w:ascii="標楷體" w:eastAsia="標楷體" w:hAnsi="標楷體"/>
          <w:sz w:val="24"/>
          <w:szCs w:val="24"/>
        </w:rPr>
      </w:pPr>
      <w:r w:rsidRPr="00530D21">
        <w:rPr>
          <w:rFonts w:ascii="標楷體" w:eastAsia="標楷體" w:hAnsi="標楷體" w:cs="Arial Unicode MS"/>
          <w:sz w:val="24"/>
          <w:szCs w:val="24"/>
        </w:rPr>
        <w:t>共整合檢定 (</w:t>
      </w:r>
      <w:proofErr w:type="spellStart"/>
      <w:r w:rsidRPr="00530D21">
        <w:rPr>
          <w:rFonts w:ascii="標楷體" w:eastAsia="標楷體" w:hAnsi="標楷體" w:cs="Arial Unicode MS"/>
          <w:sz w:val="24"/>
          <w:szCs w:val="24"/>
        </w:rPr>
        <w:t>Cointegration</w:t>
      </w:r>
      <w:proofErr w:type="spellEnd"/>
      <w:r w:rsidRPr="00530D21">
        <w:rPr>
          <w:rFonts w:ascii="標楷體" w:eastAsia="標楷體" w:hAnsi="標楷體" w:cs="Arial Unicode MS"/>
          <w:sz w:val="24"/>
          <w:szCs w:val="24"/>
        </w:rPr>
        <w:t xml:space="preserve"> Test)：取代單一相關係數篩選，使用 Engle-Granger 或 Johansen檢定確保配對具備長期穩定關係。</w:t>
      </w:r>
    </w:p>
    <w:p w:rsidR="00912331" w:rsidRPr="00530D21" w:rsidRDefault="00900F71" w:rsidP="00530D21">
      <w:pPr>
        <w:pStyle w:val="af4"/>
        <w:numPr>
          <w:ilvl w:val="0"/>
          <w:numId w:val="44"/>
        </w:numPr>
        <w:pBdr>
          <w:top w:val="nil"/>
          <w:left w:val="nil"/>
          <w:bottom w:val="nil"/>
          <w:right w:val="nil"/>
          <w:between w:val="nil"/>
        </w:pBdr>
        <w:spacing w:after="240"/>
        <w:ind w:leftChars="0"/>
        <w:rPr>
          <w:rFonts w:ascii="標楷體" w:eastAsia="標楷體" w:hAnsi="標楷體"/>
          <w:sz w:val="24"/>
          <w:szCs w:val="24"/>
        </w:rPr>
      </w:pPr>
      <w:r w:rsidRPr="00530D21">
        <w:rPr>
          <w:rFonts w:ascii="標楷體" w:eastAsia="標楷體" w:hAnsi="標楷體" w:cs="Arial Unicode MS"/>
          <w:sz w:val="24"/>
          <w:szCs w:val="24"/>
        </w:rPr>
        <w:t>動態避險比例 (OLS Hedge Ratio)：利用普通最小平方法 (OLS) 或卡爾</w:t>
      </w:r>
      <w:proofErr w:type="gramStart"/>
      <w:r w:rsidRPr="00530D21">
        <w:rPr>
          <w:rFonts w:ascii="標楷體" w:eastAsia="標楷體" w:hAnsi="標楷體" w:cs="Arial Unicode MS"/>
          <w:sz w:val="24"/>
          <w:szCs w:val="24"/>
        </w:rPr>
        <w:t>曼</w:t>
      </w:r>
      <w:proofErr w:type="gramEnd"/>
      <w:r w:rsidRPr="00530D21">
        <w:rPr>
          <w:rFonts w:ascii="標楷體" w:eastAsia="標楷體" w:hAnsi="標楷體" w:cs="Arial Unicode MS"/>
          <w:sz w:val="24"/>
          <w:szCs w:val="24"/>
        </w:rPr>
        <w:t>濾波 (</w:t>
      </w:r>
      <w:proofErr w:type="spellStart"/>
      <w:r w:rsidRPr="00530D21">
        <w:rPr>
          <w:rFonts w:ascii="標楷體" w:eastAsia="標楷體" w:hAnsi="標楷體" w:cs="Arial Unicode MS"/>
          <w:sz w:val="24"/>
          <w:szCs w:val="24"/>
        </w:rPr>
        <w:t>Kalman</w:t>
      </w:r>
      <w:proofErr w:type="spellEnd"/>
      <w:r w:rsidRPr="00530D21">
        <w:rPr>
          <w:rFonts w:ascii="標楷體" w:eastAsia="標楷體" w:hAnsi="標楷體" w:cs="Arial Unicode MS"/>
          <w:sz w:val="24"/>
          <w:szCs w:val="24"/>
        </w:rPr>
        <w:t xml:space="preserve"> Filter)估計兩檔</w:t>
      </w:r>
      <w:proofErr w:type="gramStart"/>
      <w:r w:rsidRPr="00530D21">
        <w:rPr>
          <w:rFonts w:ascii="標楷體" w:eastAsia="標楷體" w:hAnsi="標楷體" w:cs="Arial Unicode MS"/>
          <w:sz w:val="24"/>
          <w:szCs w:val="24"/>
        </w:rPr>
        <w:t>股票間的動態</w:t>
      </w:r>
      <w:proofErr w:type="gramEnd"/>
      <w:r w:rsidRPr="00530D21">
        <w:rPr>
          <w:rFonts w:ascii="標楷體" w:eastAsia="標楷體" w:hAnsi="標楷體" w:cs="Arial Unicode MS"/>
          <w:sz w:val="24"/>
          <w:szCs w:val="24"/>
        </w:rPr>
        <w:t>配對比例，而非固定之 1:1 分配。厲害</w:t>
      </w:r>
    </w:p>
    <w:p w:rsidR="00912331" w:rsidRPr="00900F71" w:rsidRDefault="00912331">
      <w:pPr>
        <w:spacing w:after="200"/>
        <w:ind w:left="425"/>
        <w:rPr>
          <w:rFonts w:ascii="標楷體" w:eastAsia="標楷體" w:hAnsi="標楷體"/>
          <w:b/>
          <w:bCs/>
          <w:sz w:val="24"/>
          <w:szCs w:val="24"/>
        </w:rPr>
      </w:pPr>
    </w:p>
    <w:p w:rsidR="00912331" w:rsidRPr="00900F71" w:rsidRDefault="00900F71">
      <w:pPr>
        <w:spacing w:after="200"/>
        <w:ind w:left="425"/>
        <w:rPr>
          <w:rFonts w:ascii="標楷體" w:eastAsia="標楷體" w:hAnsi="標楷體"/>
          <w:sz w:val="24"/>
          <w:szCs w:val="24"/>
        </w:rPr>
      </w:pPr>
      <w:r w:rsidRPr="00900F71">
        <w:rPr>
          <w:rFonts w:ascii="標楷體" w:eastAsia="標楷體" w:hAnsi="標楷體" w:cs="Arial Unicode MS"/>
          <w:b/>
          <w:bCs/>
          <w:sz w:val="24"/>
          <w:szCs w:val="24"/>
        </w:rPr>
        <w:t xml:space="preserve">  9.4 市場環境分析 (Regime-based Analysis)</w:t>
      </w:r>
    </w:p>
    <w:p w:rsidR="00912331" w:rsidRPr="00530D21" w:rsidRDefault="00900F71" w:rsidP="00530D21">
      <w:pPr>
        <w:pStyle w:val="af4"/>
        <w:numPr>
          <w:ilvl w:val="0"/>
          <w:numId w:val="45"/>
        </w:numPr>
        <w:spacing w:after="200"/>
        <w:ind w:leftChars="0"/>
        <w:rPr>
          <w:rFonts w:ascii="標楷體" w:eastAsia="標楷體" w:hAnsi="標楷體"/>
          <w:sz w:val="24"/>
          <w:szCs w:val="24"/>
        </w:rPr>
      </w:pPr>
      <w:r w:rsidRPr="00530D21">
        <w:rPr>
          <w:rFonts w:ascii="標楷體" w:eastAsia="標楷體" w:hAnsi="標楷體" w:cs="Arial Unicode MS"/>
          <w:sz w:val="24"/>
          <w:szCs w:val="24"/>
        </w:rPr>
        <w:t>景氣循環分類：將回測期間劃分為牛市、熊市與盤整期，分析各策略在不同市場環境下的表現差異，進而開發具備環境適應能力的切換策略。</w:t>
      </w: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結論</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本研究針對 McDonald's Corporation (MCD)、The Coca-Cola Company (KO)、Apple Inc. (AAPL)、Microsoft Corporation (MSFT) 與 Oracle Corporation (ORCL) 五</w:t>
      </w:r>
      <w:proofErr w:type="gramStart"/>
      <w:r w:rsidRPr="00900F71">
        <w:rPr>
          <w:rFonts w:ascii="標楷體" w:eastAsia="標楷體" w:hAnsi="標楷體" w:cs="Arial Unicode MS"/>
          <w:sz w:val="24"/>
          <w:szCs w:val="24"/>
        </w:rPr>
        <w:t>檔美股</w:t>
      </w:r>
      <w:proofErr w:type="gramEnd"/>
      <w:r w:rsidRPr="00900F71">
        <w:rPr>
          <w:rFonts w:ascii="標楷體" w:eastAsia="標楷體" w:hAnsi="標楷體" w:cs="Arial Unicode MS"/>
          <w:sz w:val="24"/>
          <w:szCs w:val="24"/>
        </w:rPr>
        <w:t>，在 1996 至 2026 年共 30 年期間進行量化回測，比較買入持有（Buy-and-Hold）、定期定額（DCA）、</w:t>
      </w:r>
      <w:proofErr w:type="gramStart"/>
      <w:r w:rsidRPr="00900F71">
        <w:rPr>
          <w:rFonts w:ascii="標楷體" w:eastAsia="標楷體" w:hAnsi="標楷體" w:cs="Arial Unicode MS"/>
          <w:sz w:val="24"/>
          <w:szCs w:val="24"/>
        </w:rPr>
        <w:t>均線策略</w:t>
      </w:r>
      <w:proofErr w:type="gramEnd"/>
      <w:r w:rsidRPr="00900F71">
        <w:rPr>
          <w:rFonts w:ascii="標楷體" w:eastAsia="標楷體" w:hAnsi="標楷體" w:cs="Arial Unicode MS"/>
          <w:sz w:val="24"/>
          <w:szCs w:val="24"/>
        </w:rPr>
        <w:t>（SMA）以及配對交易（Pairs Trading）等不同投資方法的表現。</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研究結果顯示，長期持有優質股票仍然是最穩定且最有效的策略。其中 AAPL 的表現最突出，不但擁有最高的年化報酬率，也在不同時間區段中維持良好的穩定性。這代表在長期市場中，「選對公司並長期持有」的重要性，往往高於頻繁進出市場。雖然定期定額能降低投資壓力與風險，但在長期多頭市場下，因為資金分批投入，報酬通常仍不如一次投入。</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在技術分析策略方面，</w:t>
      </w:r>
      <w:proofErr w:type="gramStart"/>
      <w:r w:rsidRPr="00900F71">
        <w:rPr>
          <w:rFonts w:ascii="標楷體" w:eastAsia="標楷體" w:hAnsi="標楷體" w:cs="Arial Unicode MS"/>
          <w:sz w:val="24"/>
          <w:szCs w:val="24"/>
        </w:rPr>
        <w:t>均線</w:t>
      </w:r>
      <w:proofErr w:type="gramEnd"/>
      <w:r w:rsidRPr="00900F71">
        <w:rPr>
          <w:rFonts w:ascii="標楷體" w:eastAsia="標楷體" w:hAnsi="標楷體" w:cs="Arial Unicode MS"/>
          <w:sz w:val="24"/>
          <w:szCs w:val="24"/>
        </w:rPr>
        <w:t>（SMA）策略雖然能幫助過濾市場雜訊，並在部分股票上有不錯效果，但整體而言，仍很難穩定超越大盤 ETF</w:t>
      </w:r>
      <w:proofErr w:type="gramStart"/>
      <w:r w:rsidRPr="00900F71">
        <w:rPr>
          <w:rFonts w:ascii="標楷體" w:eastAsia="標楷體" w:hAnsi="標楷體" w:cs="Arial Unicode MS"/>
          <w:sz w:val="24"/>
          <w:szCs w:val="24"/>
        </w:rPr>
        <w:t>——</w:t>
      </w:r>
      <w:proofErr w:type="gramEnd"/>
      <w:r w:rsidRPr="00900F71">
        <w:rPr>
          <w:rFonts w:ascii="標楷體" w:eastAsia="標楷體" w:hAnsi="標楷體" w:cs="Arial Unicode MS"/>
          <w:sz w:val="24"/>
          <w:szCs w:val="24"/>
        </w:rPr>
        <w:t>SPDR S&amp;P 500 ETF Trust (SPY)。這也說明了主動交易要長期打敗市場其實相當困難，因此投資策略除了追求報酬外，也需要和市場基準做比較。</w:t>
      </w:r>
    </w:p>
    <w:p w:rsidR="00912331" w:rsidRPr="00900F71" w:rsidRDefault="00900F71">
      <w:pPr>
        <w:pBdr>
          <w:top w:val="nil"/>
          <w:left w:val="nil"/>
          <w:bottom w:val="nil"/>
          <w:right w:val="nil"/>
          <w:between w:val="nil"/>
        </w:pBdr>
        <w:spacing w:before="240" w:after="240"/>
        <w:ind w:firstLine="566"/>
        <w:rPr>
          <w:rFonts w:ascii="標楷體" w:eastAsia="標楷體" w:hAnsi="標楷體"/>
          <w:sz w:val="24"/>
          <w:szCs w:val="24"/>
        </w:rPr>
      </w:pPr>
      <w:r w:rsidRPr="00900F71">
        <w:rPr>
          <w:rFonts w:ascii="標楷體" w:eastAsia="標楷體" w:hAnsi="標楷體" w:cs="Arial Unicode MS"/>
          <w:sz w:val="24"/>
          <w:szCs w:val="24"/>
        </w:rPr>
        <w:t>配對交易的實驗結果則顯示，統計套利策略雖然理論上風險較低，但若缺乏完整的統計檢定與風險控管，仍可能產生巨大虧損。本研究中的 MSFT</w:t>
      </w:r>
      <w:proofErr w:type="gramStart"/>
      <w:r w:rsidRPr="00900F71">
        <w:rPr>
          <w:rFonts w:ascii="標楷體" w:eastAsia="標楷體" w:hAnsi="標楷體" w:cs="Arial Unicode MS"/>
          <w:sz w:val="24"/>
          <w:szCs w:val="24"/>
        </w:rPr>
        <w:t>–</w:t>
      </w:r>
      <w:proofErr w:type="gramEnd"/>
      <w:r w:rsidRPr="00900F71">
        <w:rPr>
          <w:rFonts w:ascii="標楷體" w:eastAsia="標楷體" w:hAnsi="標楷體" w:cs="Arial Unicode MS"/>
          <w:sz w:val="24"/>
          <w:szCs w:val="24"/>
        </w:rPr>
        <w:t>ORCL 雖然具有較高相關性，但最終報酬有限，且最大</w:t>
      </w:r>
      <w:proofErr w:type="gramStart"/>
      <w:r w:rsidRPr="00900F71">
        <w:rPr>
          <w:rFonts w:ascii="標楷體" w:eastAsia="標楷體" w:hAnsi="標楷體" w:cs="Arial Unicode MS"/>
          <w:sz w:val="24"/>
          <w:szCs w:val="24"/>
        </w:rPr>
        <w:t>回撤非常</w:t>
      </w:r>
      <w:proofErr w:type="gramEnd"/>
      <w:r w:rsidRPr="00900F71">
        <w:rPr>
          <w:rFonts w:ascii="標楷體" w:eastAsia="標楷體" w:hAnsi="標楷體" w:cs="Arial Unicode MS"/>
          <w:sz w:val="24"/>
          <w:szCs w:val="24"/>
        </w:rPr>
        <w:t>高，說明「高相關性不等於策略有效」。</w:t>
      </w:r>
    </w:p>
    <w:p w:rsidR="00912331" w:rsidRPr="00900F71" w:rsidRDefault="00900F71" w:rsidP="000719D2">
      <w:pPr>
        <w:pBdr>
          <w:top w:val="nil"/>
          <w:left w:val="nil"/>
          <w:bottom w:val="nil"/>
          <w:right w:val="nil"/>
          <w:between w:val="nil"/>
        </w:pBdr>
        <w:spacing w:before="240" w:after="240"/>
        <w:ind w:firstLine="566"/>
        <w:rPr>
          <w:rFonts w:ascii="標楷體" w:eastAsia="標楷體" w:hAnsi="標楷體"/>
          <w:b/>
          <w:bCs/>
          <w:sz w:val="36"/>
          <w:szCs w:val="36"/>
        </w:rPr>
      </w:pPr>
      <w:r w:rsidRPr="00900F71">
        <w:rPr>
          <w:rFonts w:ascii="標楷體" w:eastAsia="標楷體" w:hAnsi="標楷體" w:cs="Arial Unicode MS"/>
          <w:sz w:val="24"/>
          <w:szCs w:val="24"/>
        </w:rPr>
        <w:t>綜合而言，本研究認為量化投資最重要的核心包括：「選擇好的標的」、「以市場作為比較基準」以及「完善的風險控制」。量化回測的目的不只是尋找高報酬策略，更重要的是了解策略在不同市場環境下的風險與限制，進而建立更穩健、能長期運作的投資方法。</w:t>
      </w: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參考資料</w:t>
      </w:r>
    </w:p>
    <w:p w:rsidR="00912331" w:rsidRPr="00530D21" w:rsidRDefault="00900F71" w:rsidP="00530D21">
      <w:pPr>
        <w:pStyle w:val="af4"/>
        <w:numPr>
          <w:ilvl w:val="0"/>
          <w:numId w:val="32"/>
        </w:numPr>
        <w:spacing w:before="200" w:line="335" w:lineRule="auto"/>
        <w:ind w:leftChars="0"/>
        <w:rPr>
          <w:rFonts w:ascii="標楷體" w:eastAsia="標楷體" w:hAnsi="標楷體"/>
          <w:sz w:val="24"/>
          <w:szCs w:val="24"/>
        </w:rPr>
      </w:pPr>
      <w:proofErr w:type="spellStart"/>
      <w:r w:rsidRPr="00530D21">
        <w:rPr>
          <w:rFonts w:ascii="標楷體" w:eastAsia="標楷體" w:hAnsi="標楷體"/>
          <w:sz w:val="24"/>
          <w:szCs w:val="24"/>
        </w:rPr>
        <w:t>yfinance</w:t>
      </w:r>
      <w:proofErr w:type="spellEnd"/>
    </w:p>
    <w:p w:rsidR="00912331" w:rsidRPr="00530D21" w:rsidRDefault="00900F71" w:rsidP="00530D21">
      <w:pPr>
        <w:pStyle w:val="af4"/>
        <w:numPr>
          <w:ilvl w:val="0"/>
          <w:numId w:val="32"/>
        </w:numPr>
        <w:spacing w:line="335" w:lineRule="auto"/>
        <w:ind w:leftChars="0"/>
        <w:rPr>
          <w:rFonts w:ascii="標楷體" w:eastAsia="標楷體" w:hAnsi="標楷體"/>
          <w:sz w:val="24"/>
          <w:szCs w:val="24"/>
        </w:rPr>
      </w:pPr>
      <w:r w:rsidRPr="00530D21">
        <w:rPr>
          <w:rFonts w:ascii="標楷體" w:eastAsia="標楷體" w:hAnsi="標楷體"/>
          <w:sz w:val="24"/>
          <w:szCs w:val="24"/>
        </w:rPr>
        <w:t>yahoo finance</w:t>
      </w:r>
    </w:p>
    <w:p w:rsidR="00912331" w:rsidRPr="00530D21" w:rsidRDefault="00900F71" w:rsidP="00530D21">
      <w:pPr>
        <w:pStyle w:val="af4"/>
        <w:numPr>
          <w:ilvl w:val="0"/>
          <w:numId w:val="32"/>
        </w:numPr>
        <w:spacing w:after="1060" w:line="335" w:lineRule="auto"/>
        <w:ind w:leftChars="0"/>
        <w:rPr>
          <w:rFonts w:ascii="標楷體" w:eastAsia="標楷體" w:hAnsi="標楷體"/>
          <w:sz w:val="24"/>
          <w:szCs w:val="24"/>
        </w:rPr>
      </w:pPr>
      <w:proofErr w:type="spellStart"/>
      <w:r w:rsidRPr="00530D21">
        <w:rPr>
          <w:rFonts w:ascii="標楷體" w:eastAsia="標楷體" w:hAnsi="標楷體"/>
          <w:sz w:val="24"/>
          <w:szCs w:val="24"/>
        </w:rPr>
        <w:t>vnpy</w:t>
      </w:r>
      <w:proofErr w:type="spellEnd"/>
      <w:r w:rsidRPr="00530D21">
        <w:rPr>
          <w:rFonts w:ascii="標楷體" w:eastAsia="標楷體" w:hAnsi="標楷體"/>
          <w:sz w:val="24"/>
          <w:szCs w:val="24"/>
        </w:rPr>
        <w:t>: https://github.com/vnpy/vnpy</w:t>
      </w:r>
    </w:p>
    <w:p w:rsidR="00912331" w:rsidRPr="00900F71" w:rsidRDefault="00912331">
      <w:pPr>
        <w:rPr>
          <w:rFonts w:ascii="標楷體" w:eastAsia="標楷體" w:hAnsi="標楷體"/>
          <w:b/>
          <w:bCs/>
          <w:sz w:val="36"/>
          <w:szCs w:val="36"/>
        </w:rPr>
      </w:pPr>
    </w:p>
    <w:p w:rsidR="00912331" w:rsidRPr="00900F71" w:rsidRDefault="00900F71">
      <w:pPr>
        <w:numPr>
          <w:ilvl w:val="0"/>
          <w:numId w:val="15"/>
        </w:numPr>
        <w:spacing w:after="200"/>
        <w:rPr>
          <w:rFonts w:ascii="標楷體" w:eastAsia="標楷體" w:hAnsi="標楷體"/>
          <w:b/>
          <w:bCs/>
          <w:sz w:val="36"/>
          <w:szCs w:val="36"/>
        </w:rPr>
      </w:pPr>
      <w:r w:rsidRPr="00900F71">
        <w:rPr>
          <w:rFonts w:ascii="標楷體" w:eastAsia="標楷體" w:hAnsi="標楷體" w:cs="Arial Unicode MS"/>
          <w:b/>
          <w:bCs/>
          <w:sz w:val="36"/>
          <w:szCs w:val="36"/>
        </w:rPr>
        <w:t>小組貢獻與心得</w:t>
      </w:r>
    </w:p>
    <w:p w:rsidR="00912331" w:rsidRPr="00900F71" w:rsidRDefault="00900F71">
      <w:pPr>
        <w:ind w:left="425"/>
        <w:rPr>
          <w:rFonts w:ascii="標楷體" w:eastAsia="標楷體" w:hAnsi="標楷體"/>
        </w:rPr>
      </w:pPr>
      <w:r w:rsidRPr="00900F71">
        <w:rPr>
          <w:rFonts w:ascii="標楷體" w:eastAsia="標楷體" w:hAnsi="標楷體" w:cs="Arial Unicode MS"/>
          <w:b/>
          <w:bCs/>
          <w:sz w:val="28"/>
          <w:szCs w:val="28"/>
        </w:rPr>
        <w:t>12.1 工作分配表</w:t>
      </w:r>
    </w:p>
    <w:p w:rsidR="00912331" w:rsidRPr="00900F71" w:rsidRDefault="00912331">
      <w:pPr>
        <w:widowControl w:val="0"/>
        <w:spacing w:line="240" w:lineRule="auto"/>
        <w:jc w:val="center"/>
        <w:rPr>
          <w:rFonts w:ascii="標楷體" w:eastAsia="標楷體" w:hAnsi="標楷體"/>
        </w:rPr>
      </w:pPr>
    </w:p>
    <w:tbl>
      <w:tblPr>
        <w:tblStyle w:val="af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2"/>
        <w:gridCol w:w="1376"/>
        <w:gridCol w:w="1377"/>
        <w:gridCol w:w="1517"/>
        <w:gridCol w:w="1619"/>
        <w:gridCol w:w="1454"/>
      </w:tblGrid>
      <w:tr w:rsidR="00912331" w:rsidRPr="00900F71">
        <w:trPr>
          <w:cantSplit/>
        </w:trPr>
        <w:tc>
          <w:tcPr>
            <w:tcW w:w="1682" w:type="dxa"/>
            <w:shd w:val="clear" w:color="auto" w:fill="A4C2F4"/>
            <w:tcMar>
              <w:top w:w="100" w:type="dxa"/>
              <w:left w:w="100" w:type="dxa"/>
              <w:bottom w:w="100" w:type="dxa"/>
              <w:right w:w="100" w:type="dxa"/>
            </w:tcMar>
            <w:vAlign w:val="center"/>
          </w:tcPr>
          <w:p w:rsidR="00912331" w:rsidRPr="00900F71" w:rsidRDefault="00912331">
            <w:pPr>
              <w:widowControl w:val="0"/>
              <w:spacing w:line="240" w:lineRule="auto"/>
              <w:jc w:val="center"/>
              <w:rPr>
                <w:rFonts w:ascii="標楷體" w:eastAsia="標楷體" w:hAnsi="標楷體"/>
              </w:rPr>
            </w:pPr>
          </w:p>
        </w:tc>
        <w:tc>
          <w:tcPr>
            <w:tcW w:w="1376"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簡報</w:t>
            </w:r>
          </w:p>
        </w:tc>
        <w:tc>
          <w:tcPr>
            <w:tcW w:w="1376"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報告</w:t>
            </w:r>
          </w:p>
        </w:tc>
        <w:tc>
          <w:tcPr>
            <w:tcW w:w="1516"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資料收集</w:t>
            </w:r>
          </w:p>
        </w:tc>
        <w:tc>
          <w:tcPr>
            <w:tcW w:w="1618"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程式碼</w:t>
            </w:r>
          </w:p>
        </w:tc>
        <w:tc>
          <w:tcPr>
            <w:tcW w:w="1453"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策略</w:t>
            </w:r>
          </w:p>
        </w:tc>
      </w:tr>
      <w:tr w:rsidR="00912331" w:rsidRPr="00900F71">
        <w:trPr>
          <w:cantSplit/>
        </w:trPr>
        <w:tc>
          <w:tcPr>
            <w:tcW w:w="1682"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A1125508  </w:t>
            </w:r>
          </w:p>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吳晧安</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51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618"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453"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r>
      <w:tr w:rsidR="00912331" w:rsidRPr="00900F71">
        <w:trPr>
          <w:cantSplit/>
        </w:trPr>
        <w:tc>
          <w:tcPr>
            <w:tcW w:w="1682"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A1125509</w:t>
            </w:r>
          </w:p>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 xml:space="preserve">  鄭仁凱</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51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618"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453"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r>
      <w:tr w:rsidR="00912331" w:rsidRPr="00900F71">
        <w:trPr>
          <w:cantSplit/>
        </w:trPr>
        <w:tc>
          <w:tcPr>
            <w:tcW w:w="1682"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A1125510</w:t>
            </w:r>
          </w:p>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 xml:space="preserve">  </w:t>
            </w:r>
            <w:proofErr w:type="gramStart"/>
            <w:r w:rsidRPr="00900F71">
              <w:rPr>
                <w:rFonts w:ascii="標楷體" w:eastAsia="標楷體" w:hAnsi="標楷體" w:cs="Arial Unicode MS"/>
              </w:rPr>
              <w:t>余仲評</w:t>
            </w:r>
            <w:proofErr w:type="gramEnd"/>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51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618"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453"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r>
      <w:tr w:rsidR="00912331" w:rsidRPr="00900F71">
        <w:trPr>
          <w:cantSplit/>
        </w:trPr>
        <w:tc>
          <w:tcPr>
            <w:tcW w:w="1682" w:type="dxa"/>
            <w:shd w:val="clear" w:color="auto" w:fill="C9DAF8"/>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rPr>
              <w:t xml:space="preserve">A1125511 </w:t>
            </w:r>
          </w:p>
          <w:p w:rsidR="00912331" w:rsidRPr="00900F71" w:rsidRDefault="00900F71">
            <w:pPr>
              <w:widowControl w:val="0"/>
              <w:spacing w:line="240" w:lineRule="auto"/>
              <w:jc w:val="center"/>
              <w:rPr>
                <w:rFonts w:ascii="標楷體" w:eastAsia="標楷體" w:hAnsi="標楷體"/>
              </w:rPr>
            </w:pPr>
            <w:r w:rsidRPr="00900F71">
              <w:rPr>
                <w:rFonts w:ascii="標楷體" w:eastAsia="標楷體" w:hAnsi="標楷體" w:cs="Arial Unicode MS"/>
              </w:rPr>
              <w:t xml:space="preserve"> 林猷樂</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376" w:type="dxa"/>
            <w:shd w:val="clear" w:color="auto" w:fill="auto"/>
            <w:tcMar>
              <w:top w:w="100" w:type="dxa"/>
              <w:left w:w="100" w:type="dxa"/>
              <w:bottom w:w="100" w:type="dxa"/>
              <w:right w:w="100" w:type="dxa"/>
            </w:tcMar>
            <w:vAlign w:val="center"/>
          </w:tcPr>
          <w:p w:rsidR="00912331" w:rsidRPr="00900F71" w:rsidRDefault="00900F71">
            <w:pPr>
              <w:jc w:val="center"/>
              <w:rPr>
                <w:rFonts w:ascii="標楷體" w:eastAsia="標楷體" w:hAnsi="標楷體"/>
              </w:rPr>
            </w:pPr>
            <w:r w:rsidRPr="00900F71">
              <w:rPr>
                <w:rFonts w:ascii="MS Gothic" w:eastAsia="MS Gothic" w:hAnsi="MS Gothic" w:cs="MS Gothic" w:hint="eastAsia"/>
                <w:b/>
                <w:bCs/>
                <w:sz w:val="36"/>
                <w:szCs w:val="36"/>
              </w:rPr>
              <w:t>✖</w:t>
            </w:r>
          </w:p>
        </w:tc>
        <w:tc>
          <w:tcPr>
            <w:tcW w:w="1516"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MS Gothic" w:eastAsia="MS Gothic" w:hAnsi="MS Gothic" w:cs="MS Gothic" w:hint="eastAsia"/>
                <w:b/>
                <w:bCs/>
                <w:sz w:val="36"/>
                <w:szCs w:val="36"/>
              </w:rPr>
              <w:t>✔</w:t>
            </w:r>
          </w:p>
        </w:tc>
        <w:tc>
          <w:tcPr>
            <w:tcW w:w="1618"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MS Gothic" w:eastAsia="MS Gothic" w:hAnsi="MS Gothic" w:cs="MS Gothic" w:hint="eastAsia"/>
                <w:b/>
                <w:bCs/>
                <w:sz w:val="36"/>
                <w:szCs w:val="36"/>
              </w:rPr>
              <w:t>✔</w:t>
            </w:r>
          </w:p>
        </w:tc>
        <w:tc>
          <w:tcPr>
            <w:tcW w:w="1453" w:type="dxa"/>
            <w:shd w:val="clear" w:color="auto" w:fill="auto"/>
            <w:tcMar>
              <w:top w:w="100" w:type="dxa"/>
              <w:left w:w="100" w:type="dxa"/>
              <w:bottom w:w="100" w:type="dxa"/>
              <w:right w:w="100" w:type="dxa"/>
            </w:tcMar>
            <w:vAlign w:val="center"/>
          </w:tcPr>
          <w:p w:rsidR="00912331" w:rsidRPr="00900F71" w:rsidRDefault="00900F71">
            <w:pPr>
              <w:widowControl w:val="0"/>
              <w:spacing w:line="240" w:lineRule="auto"/>
              <w:jc w:val="center"/>
              <w:rPr>
                <w:rFonts w:ascii="標楷體" w:eastAsia="標楷體" w:hAnsi="標楷體"/>
              </w:rPr>
            </w:pPr>
            <w:r w:rsidRPr="00900F71">
              <w:rPr>
                <w:rFonts w:ascii="MS Gothic" w:eastAsia="MS Gothic" w:hAnsi="MS Gothic" w:cs="MS Gothic" w:hint="eastAsia"/>
                <w:b/>
                <w:bCs/>
                <w:sz w:val="36"/>
                <w:szCs w:val="36"/>
              </w:rPr>
              <w:t>✔</w:t>
            </w:r>
          </w:p>
        </w:tc>
      </w:tr>
    </w:tbl>
    <w:p w:rsidR="00912331" w:rsidRPr="00900F71" w:rsidRDefault="00912331">
      <w:pPr>
        <w:rPr>
          <w:rFonts w:ascii="標楷體" w:eastAsia="標楷體" w:hAnsi="標楷體"/>
          <w:b/>
          <w:bCs/>
          <w:sz w:val="28"/>
          <w:szCs w:val="28"/>
        </w:rPr>
      </w:pPr>
    </w:p>
    <w:p w:rsidR="00912331" w:rsidRPr="00900F71" w:rsidRDefault="00900F71">
      <w:pPr>
        <w:ind w:left="425"/>
        <w:rPr>
          <w:rFonts w:ascii="標楷體" w:eastAsia="標楷體" w:hAnsi="標楷體"/>
          <w:b/>
          <w:bCs/>
          <w:sz w:val="28"/>
          <w:szCs w:val="28"/>
        </w:rPr>
      </w:pPr>
      <w:r w:rsidRPr="00900F71">
        <w:rPr>
          <w:rFonts w:ascii="標楷體" w:eastAsia="標楷體" w:hAnsi="標楷體" w:cs="Arial Unicode MS"/>
          <w:b/>
          <w:bCs/>
          <w:sz w:val="28"/>
          <w:szCs w:val="28"/>
        </w:rPr>
        <w:t>12.2 個人心得</w:t>
      </w:r>
    </w:p>
    <w:p w:rsidR="00912331" w:rsidRPr="00900F71" w:rsidRDefault="00900F71">
      <w:pPr>
        <w:rPr>
          <w:rFonts w:ascii="標楷體" w:eastAsia="標楷體" w:hAnsi="標楷體"/>
          <w:sz w:val="24"/>
          <w:szCs w:val="24"/>
        </w:rPr>
      </w:pPr>
      <w:r w:rsidRPr="00900F71">
        <w:rPr>
          <w:rFonts w:ascii="標楷體" w:eastAsia="標楷體" w:hAnsi="標楷體" w:cs="Arial Unicode MS"/>
          <w:sz w:val="24"/>
          <w:szCs w:val="24"/>
        </w:rPr>
        <w:t xml:space="preserve">      A1125508 吳晧安：</w:t>
      </w:r>
    </w:p>
    <w:p w:rsidR="00912331" w:rsidRPr="00900F71" w:rsidRDefault="00900F71" w:rsidP="00530D21">
      <w:pPr>
        <w:spacing w:before="240" w:after="240" w:line="240" w:lineRule="auto"/>
        <w:ind w:leftChars="386" w:left="849" w:firstLineChars="177" w:firstLine="425"/>
        <w:rPr>
          <w:rFonts w:ascii="標楷體" w:eastAsia="標楷體" w:hAnsi="標楷體"/>
          <w:sz w:val="24"/>
          <w:szCs w:val="24"/>
        </w:rPr>
      </w:pPr>
      <w:r w:rsidRPr="00900F71">
        <w:rPr>
          <w:rFonts w:ascii="標楷體" w:eastAsia="標楷體" w:hAnsi="標楷體" w:cs="Arial Unicode MS"/>
          <w:sz w:val="24"/>
          <w:szCs w:val="24"/>
        </w:rPr>
        <w:t>這次專案讓我最大的收穫，是比較完整地走過一次量化交易研究的流程，以前我看投資策略時，常常會先注意報酬率，覺得最後賺得多好像就是好策略，但實際做完專題後，我發現策略評估不能</w:t>
      </w:r>
      <w:proofErr w:type="gramStart"/>
      <w:r w:rsidRPr="00900F71">
        <w:rPr>
          <w:rFonts w:ascii="標楷體" w:eastAsia="標楷體" w:hAnsi="標楷體" w:cs="Arial Unicode MS"/>
          <w:sz w:val="24"/>
          <w:szCs w:val="24"/>
        </w:rPr>
        <w:t>只看賺多少</w:t>
      </w:r>
      <w:proofErr w:type="gramEnd"/>
      <w:r w:rsidRPr="00900F71">
        <w:rPr>
          <w:rFonts w:ascii="標楷體" w:eastAsia="標楷體" w:hAnsi="標楷體" w:cs="Arial Unicode MS"/>
          <w:sz w:val="24"/>
          <w:szCs w:val="24"/>
        </w:rPr>
        <w:t>，還要一起看風險、波動、最大</w:t>
      </w:r>
      <w:proofErr w:type="gramStart"/>
      <w:r w:rsidRPr="00900F71">
        <w:rPr>
          <w:rFonts w:ascii="標楷體" w:eastAsia="標楷體" w:hAnsi="標楷體" w:cs="Arial Unicode MS"/>
          <w:sz w:val="24"/>
          <w:szCs w:val="24"/>
        </w:rPr>
        <w:t>回撤、</w:t>
      </w:r>
      <w:proofErr w:type="gramEnd"/>
      <w:r w:rsidRPr="00900F71">
        <w:rPr>
          <w:rFonts w:ascii="標楷體" w:eastAsia="標楷體" w:hAnsi="標楷體" w:cs="Arial Unicode MS"/>
          <w:sz w:val="24"/>
          <w:szCs w:val="24"/>
        </w:rPr>
        <w:t>是否穩定，以及有沒有真的贏過大盤。這也讓我想到自己平常也有在投資，有時候績效不一定贏大盤，而且也會受到情緒影響，例如下跌時想賣、上漲時又怕錯過。透過這次專案，我更能理解規則化分析的重要性，因為它可以讓判斷比較客觀，而不是只靠感覺做決定。</w:t>
      </w:r>
    </w:p>
    <w:p w:rsidR="00912331" w:rsidRPr="00900F71" w:rsidRDefault="00900F71" w:rsidP="00530D21">
      <w:pPr>
        <w:spacing w:before="240" w:after="240" w:line="240" w:lineRule="auto"/>
        <w:ind w:leftChars="386" w:left="849" w:firstLineChars="177" w:firstLine="425"/>
        <w:rPr>
          <w:rFonts w:ascii="標楷體" w:eastAsia="標楷體" w:hAnsi="標楷體"/>
          <w:sz w:val="24"/>
          <w:szCs w:val="24"/>
        </w:rPr>
      </w:pPr>
      <w:r w:rsidRPr="00900F71">
        <w:rPr>
          <w:rFonts w:ascii="標楷體" w:eastAsia="標楷體" w:hAnsi="標楷體" w:cs="Arial Unicode MS"/>
          <w:sz w:val="24"/>
          <w:szCs w:val="24"/>
        </w:rPr>
        <w:t>在策略設計上，我們使用 Buy-and-Hold、Fair DCA 和三種 SMA Crossover。這些策略看起來不難，但真的實作後才發現，很多細節會影響比較是否公平。例如 DCA 如果每月固定投入 100 美元，總投入金額就會和 Buy-and-Hold 不同，所以後來改成 Fair DCA，讓總投入都固定為 10,000 美元。這讓我學到，回測不是把公式寫出來就好，還要先確認資料、假設和比較基準是否合理。</w:t>
      </w:r>
    </w:p>
    <w:p w:rsidR="00912331" w:rsidRPr="00900F71" w:rsidRDefault="00900F71" w:rsidP="00530D21">
      <w:pPr>
        <w:spacing w:before="240" w:after="240" w:line="240" w:lineRule="auto"/>
        <w:ind w:leftChars="386" w:left="849" w:firstLineChars="177" w:firstLine="425"/>
        <w:rPr>
          <w:rFonts w:ascii="標楷體" w:eastAsia="標楷體" w:hAnsi="標楷體"/>
          <w:sz w:val="24"/>
          <w:szCs w:val="24"/>
        </w:rPr>
      </w:pPr>
      <w:r w:rsidRPr="00900F71">
        <w:rPr>
          <w:rFonts w:ascii="標楷體" w:eastAsia="標楷體" w:hAnsi="標楷體" w:cs="Arial Unicode MS"/>
          <w:sz w:val="24"/>
          <w:szCs w:val="24"/>
        </w:rPr>
        <w:t>程式實作上過程中也遇到不少問題，例如資料欄位要對齊、資料的整理與正規化、不能用到未來資料、怎麼實現配對交易、要怎麼呈現比較資料等。這些讓我體會到，量化專案不只是算出績效，還要把資料流程和程式架構規劃好，以及事先理解好策略邏輯的重要，否則結果很容易出錯或難以解釋。</w:t>
      </w:r>
    </w:p>
    <w:p w:rsidR="00912331" w:rsidRPr="00900F71" w:rsidRDefault="00900F71" w:rsidP="00530D21">
      <w:pPr>
        <w:spacing w:before="240" w:after="240" w:line="240" w:lineRule="auto"/>
        <w:ind w:leftChars="386" w:left="849" w:firstLineChars="177" w:firstLine="425"/>
        <w:rPr>
          <w:rFonts w:ascii="標楷體" w:eastAsia="標楷體" w:hAnsi="標楷體"/>
          <w:sz w:val="24"/>
          <w:szCs w:val="24"/>
        </w:rPr>
      </w:pPr>
      <w:r w:rsidRPr="00900F71">
        <w:rPr>
          <w:rFonts w:ascii="標楷體" w:eastAsia="標楷體" w:hAnsi="標楷體" w:cs="Arial Unicode MS"/>
          <w:sz w:val="24"/>
          <w:szCs w:val="24"/>
        </w:rPr>
        <w:t>在實作後，Temporal Validation 是我覺得最有研究價值的部分，因為金融資料不能</w:t>
      </w:r>
      <w:proofErr w:type="gramStart"/>
      <w:r w:rsidRPr="00900F71">
        <w:rPr>
          <w:rFonts w:ascii="標楷體" w:eastAsia="標楷體" w:hAnsi="標楷體" w:cs="Arial Unicode MS"/>
          <w:sz w:val="24"/>
          <w:szCs w:val="24"/>
        </w:rPr>
        <w:t>隨機切分</w:t>
      </w:r>
      <w:proofErr w:type="gramEnd"/>
      <w:r w:rsidRPr="00900F71">
        <w:rPr>
          <w:rFonts w:ascii="標楷體" w:eastAsia="標楷體" w:hAnsi="標楷體" w:cs="Arial Unicode MS"/>
          <w:sz w:val="24"/>
          <w:szCs w:val="24"/>
        </w:rPr>
        <w:t>，我們只能用過去</w:t>
      </w:r>
      <w:proofErr w:type="gramStart"/>
      <w:r w:rsidRPr="00900F71">
        <w:rPr>
          <w:rFonts w:ascii="標楷體" w:eastAsia="標楷體" w:hAnsi="標楷體" w:cs="Arial Unicode MS"/>
          <w:sz w:val="24"/>
          <w:szCs w:val="24"/>
        </w:rPr>
        <w:t>資料去測未來</w:t>
      </w:r>
      <w:proofErr w:type="gramEnd"/>
      <w:r w:rsidRPr="00900F71">
        <w:rPr>
          <w:rFonts w:ascii="標楷體" w:eastAsia="標楷體" w:hAnsi="標楷體" w:cs="Arial Unicode MS"/>
          <w:sz w:val="24"/>
          <w:szCs w:val="24"/>
        </w:rPr>
        <w:t>表現。透過 expanding-window 的方式，可以看出策略是不是只在某一段歷史中表現好，還是真的比較穩定。結果也讓我發現，很多策略雖然有正報酬，但不一定能</w:t>
      </w:r>
      <w:proofErr w:type="gramStart"/>
      <w:r w:rsidRPr="00900F71">
        <w:rPr>
          <w:rFonts w:ascii="標楷體" w:eastAsia="標楷體" w:hAnsi="標楷體" w:cs="Arial Unicode MS"/>
          <w:sz w:val="24"/>
          <w:szCs w:val="24"/>
        </w:rPr>
        <w:t>穩定贏</w:t>
      </w:r>
      <w:proofErr w:type="gramEnd"/>
      <w:r w:rsidRPr="00900F71">
        <w:rPr>
          <w:rFonts w:ascii="標楷體" w:eastAsia="標楷體" w:hAnsi="標楷體" w:cs="Arial Unicode MS"/>
          <w:sz w:val="24"/>
          <w:szCs w:val="24"/>
        </w:rPr>
        <w:t xml:space="preserve">過 SPY。Pairs Trading 的部分也很有啟發。原本會直覺覺得兩檔股票相關性高就適合配對交易，但結果顯示高 correlation 不一定代表 spread </w:t>
      </w:r>
      <w:proofErr w:type="gramStart"/>
      <w:r w:rsidRPr="00900F71">
        <w:rPr>
          <w:rFonts w:ascii="標楷體" w:eastAsia="標楷體" w:hAnsi="標楷體" w:cs="Arial Unicode MS"/>
          <w:sz w:val="24"/>
          <w:szCs w:val="24"/>
        </w:rPr>
        <w:t>會均值回歸</w:t>
      </w:r>
      <w:proofErr w:type="gramEnd"/>
      <w:r w:rsidRPr="00900F71">
        <w:rPr>
          <w:rFonts w:ascii="標楷體" w:eastAsia="標楷體" w:hAnsi="標楷體" w:cs="Arial Unicode MS"/>
          <w:sz w:val="24"/>
          <w:szCs w:val="24"/>
        </w:rPr>
        <w:t xml:space="preserve">，未來如果要改進，我會想嘗試找出更好的配對方式，例如加入 </w:t>
      </w:r>
      <w:proofErr w:type="spellStart"/>
      <w:r w:rsidRPr="00900F71">
        <w:rPr>
          <w:rFonts w:ascii="標楷體" w:eastAsia="標楷體" w:hAnsi="標楷體" w:cs="Arial Unicode MS"/>
          <w:sz w:val="24"/>
          <w:szCs w:val="24"/>
        </w:rPr>
        <w:t>cointegration</w:t>
      </w:r>
      <w:proofErr w:type="spellEnd"/>
      <w:r w:rsidRPr="00900F71">
        <w:rPr>
          <w:rFonts w:ascii="標楷體" w:eastAsia="標楷體" w:hAnsi="標楷體" w:cs="Arial Unicode MS"/>
          <w:sz w:val="24"/>
          <w:szCs w:val="24"/>
        </w:rPr>
        <w:t xml:space="preserve"> test、ADF test、OLS hedge ratio，或擴大股票池來尋找更適合的 pair。</w:t>
      </w:r>
    </w:p>
    <w:p w:rsidR="00912331" w:rsidRPr="00900F71" w:rsidRDefault="00900F71" w:rsidP="00530D21">
      <w:pPr>
        <w:spacing w:before="240" w:after="240" w:line="240" w:lineRule="auto"/>
        <w:ind w:leftChars="386" w:left="849" w:firstLineChars="177" w:firstLine="425"/>
        <w:rPr>
          <w:rFonts w:ascii="標楷體" w:eastAsia="標楷體" w:hAnsi="標楷體"/>
          <w:sz w:val="24"/>
          <w:szCs w:val="24"/>
        </w:rPr>
      </w:pPr>
      <w:r w:rsidRPr="00900F71">
        <w:rPr>
          <w:rFonts w:ascii="標楷體" w:eastAsia="標楷體" w:hAnsi="標楷體" w:cs="Arial Unicode MS"/>
          <w:sz w:val="24"/>
          <w:szCs w:val="24"/>
        </w:rPr>
        <w:t>整體來說，這次專案讓我對投資和程式實作都有更務實的理解，量化分析不一定能預測未來，但它能幫助我們用更透明、客觀的方式檢查策略，也提醒我投資不能只看報酬，更要重視風險、比較基準和策略限制，期許經過這次實作量化交易後，以後可以實際運用到我的投資上，期許能夠找到最佳的模型可以穩定打敗通膨、打敗大盤。</w:t>
      </w:r>
    </w:p>
    <w:p w:rsidR="00912331" w:rsidRPr="00900F71" w:rsidRDefault="00900F71">
      <w:pPr>
        <w:rPr>
          <w:rFonts w:ascii="標楷體" w:eastAsia="標楷體" w:hAnsi="標楷體"/>
          <w:sz w:val="24"/>
          <w:szCs w:val="24"/>
        </w:rPr>
      </w:pPr>
      <w:r w:rsidRPr="00900F71">
        <w:rPr>
          <w:rFonts w:ascii="標楷體" w:eastAsia="標楷體" w:hAnsi="標楷體" w:cs="Arial Unicode MS"/>
          <w:sz w:val="24"/>
          <w:szCs w:val="24"/>
        </w:rPr>
        <w:t xml:space="preserve">      A1125509 鄭仁凱：</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在這次的專題中我學到很多關於量化交易、資料分析、風險管理的觀念。以前我對這些相關概念並不熟，只有聽過這名詞，未深入研究，認為它離我很遙遠，但實際去了解，動手實作後才發現其實是可以建立一個簡易版的交易分析系統 。</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在整個實作過程中，我認為做大的啟發和收獲就是對Look-ahead Bias 有了深刻的理解，因為錯誤地使用未來資料，就</w:t>
      </w:r>
      <w:proofErr w:type="gramStart"/>
      <w:r w:rsidRPr="00900F71">
        <w:rPr>
          <w:rFonts w:ascii="標楷體" w:eastAsia="標楷體" w:hAnsi="標楷體" w:cs="Arial Unicode MS"/>
          <w:sz w:val="24"/>
          <w:szCs w:val="24"/>
        </w:rPr>
        <w:t>會讓回測</w:t>
      </w:r>
      <w:proofErr w:type="gramEnd"/>
      <w:r w:rsidRPr="00900F71">
        <w:rPr>
          <w:rFonts w:ascii="標楷體" w:eastAsia="標楷體" w:hAnsi="標楷體" w:cs="Arial Unicode MS"/>
          <w:sz w:val="24"/>
          <w:szCs w:val="24"/>
        </w:rPr>
        <w:t>過度漂亮，失去真實性，因此我們才會</w:t>
      </w:r>
      <w:proofErr w:type="gramStart"/>
      <w:r w:rsidRPr="00900F71">
        <w:rPr>
          <w:rFonts w:ascii="標楷體" w:eastAsia="標楷體" w:hAnsi="標楷體" w:cs="Arial Unicode MS"/>
          <w:sz w:val="24"/>
          <w:szCs w:val="24"/>
        </w:rPr>
        <w:t>在均線策略</w:t>
      </w:r>
      <w:proofErr w:type="gramEnd"/>
      <w:r w:rsidRPr="00900F71">
        <w:rPr>
          <w:rFonts w:ascii="標楷體" w:eastAsia="標楷體" w:hAnsi="標楷體" w:cs="Arial Unicode MS"/>
          <w:sz w:val="24"/>
          <w:szCs w:val="24"/>
        </w:rPr>
        <w:t>與配對交易的實作中，用前一天的資料來決定今天的交易訊號，這樣才能更接近真實的市場。</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我覺得最有趣但也是最困難的地方是配對交易的實作，我原本以為只要找到高度相關的股票就能穩定套牢，但實際似乎沒有想像那麼簡單，整個數據的呈現上都不是很穩定，這讓我了解市場並不是永遠照死板的理論運作，公司的基本面和產業的變化都可能影響效果，而且在沒有停損的情況下，我們的</w:t>
      </w:r>
      <w:proofErr w:type="gramStart"/>
      <w:r w:rsidRPr="00900F71">
        <w:rPr>
          <w:rFonts w:ascii="標楷體" w:eastAsia="標楷體" w:hAnsi="標楷體" w:cs="Arial Unicode MS"/>
          <w:sz w:val="24"/>
          <w:szCs w:val="24"/>
        </w:rPr>
        <w:t>回徹有的</w:t>
      </w:r>
      <w:proofErr w:type="gramEnd"/>
      <w:r w:rsidRPr="00900F71">
        <w:rPr>
          <w:rFonts w:ascii="標楷體" w:eastAsia="標楷體" w:hAnsi="標楷體" w:cs="Arial Unicode MS"/>
          <w:sz w:val="24"/>
          <w:szCs w:val="24"/>
        </w:rPr>
        <w:t>還超過本金，這讓我更明白且重視風險管理的重要性。</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這份專題還加入了Temporal Validation 的測試方式，透過大量時間視窗去檢查策略是否穩定。這部分也讓我學到很多。因為有些策略在完整的長期回測中看起來績效很好，但當我們把時間區間切開來測試後，卻發現它在某些市場環境中的表現其實相當普通，甚至可能虧損。這讓我了解到，一個真正好的量化策略，不只是「曾經賺過錢」，而是必須能夠在不同的市場環境、不同的景氣下，依然維持一定程度的穩定性與可靠性。否則，策略很有可能只是剛好適合某段特定</w:t>
      </w:r>
      <w:proofErr w:type="gramStart"/>
      <w:r w:rsidRPr="00900F71">
        <w:rPr>
          <w:rFonts w:ascii="標楷體" w:eastAsia="標楷體" w:hAnsi="標楷體" w:cs="Arial Unicode MS"/>
          <w:sz w:val="24"/>
          <w:szCs w:val="24"/>
        </w:rPr>
        <w:t>期間，</w:t>
      </w:r>
      <w:proofErr w:type="gramEnd"/>
      <w:r w:rsidRPr="00900F71">
        <w:rPr>
          <w:rFonts w:ascii="標楷體" w:eastAsia="標楷體" w:hAnsi="標楷體" w:cs="Arial Unicode MS"/>
          <w:sz w:val="24"/>
          <w:szCs w:val="24"/>
        </w:rPr>
        <w:t xml:space="preserve">但其實不具備長期使用的價值。 </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 xml:space="preserve">這次的專題讓我更加了解量化交易的相關知識，而它並不能保證獲利，而是透過數據和模型，幫助我們更理性地分析市場、控制風險，以及了解策略在什麼情況下有效、什麼情況下可能失效。這次的經驗讓我對金融數據分析以及投資策略設計有了更完整且深入的認識，對未來若想繼續學習相關領域，也有相當大的幫助與啟發。 </w:t>
      </w:r>
    </w:p>
    <w:p w:rsidR="00912331" w:rsidRPr="00900F71" w:rsidRDefault="00912331">
      <w:pPr>
        <w:rPr>
          <w:rFonts w:ascii="標楷體" w:eastAsia="標楷體" w:hAnsi="標楷體"/>
          <w:sz w:val="24"/>
          <w:szCs w:val="24"/>
        </w:rPr>
      </w:pPr>
    </w:p>
    <w:p w:rsidR="00912331" w:rsidRPr="00900F71" w:rsidRDefault="00900F71">
      <w:pPr>
        <w:rPr>
          <w:rFonts w:ascii="標楷體" w:eastAsia="標楷體" w:hAnsi="標楷體"/>
          <w:sz w:val="24"/>
          <w:szCs w:val="24"/>
        </w:rPr>
      </w:pPr>
      <w:r w:rsidRPr="00900F71">
        <w:rPr>
          <w:rFonts w:ascii="標楷體" w:eastAsia="標楷體" w:hAnsi="標楷體" w:cs="Arial Unicode MS"/>
          <w:sz w:val="24"/>
          <w:szCs w:val="24"/>
        </w:rPr>
        <w:t xml:space="preserve">      A1125510 </w:t>
      </w:r>
      <w:proofErr w:type="gramStart"/>
      <w:r w:rsidRPr="00900F71">
        <w:rPr>
          <w:rFonts w:ascii="標楷體" w:eastAsia="標楷體" w:hAnsi="標楷體" w:cs="Arial Unicode MS"/>
          <w:sz w:val="24"/>
          <w:szCs w:val="24"/>
        </w:rPr>
        <w:t>余仲評</w:t>
      </w:r>
      <w:proofErr w:type="gramEnd"/>
      <w:r w:rsidRPr="00900F71">
        <w:rPr>
          <w:rFonts w:ascii="標楷體" w:eastAsia="標楷體" w:hAnsi="標楷體" w:cs="Arial Unicode MS"/>
          <w:sz w:val="24"/>
          <w:szCs w:val="24"/>
        </w:rPr>
        <w:t>：</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在這次量化交易報告中，我學到了許多評估投資策略的重要指標，例如累計報酬、最大</w:t>
      </w:r>
      <w:proofErr w:type="gramStart"/>
      <w:r w:rsidRPr="00900F71">
        <w:rPr>
          <w:rFonts w:ascii="標楷體" w:eastAsia="標楷體" w:hAnsi="標楷體" w:cs="Arial Unicode MS"/>
          <w:sz w:val="24"/>
          <w:szCs w:val="24"/>
        </w:rPr>
        <w:t>回撤、</w:t>
      </w:r>
      <w:proofErr w:type="gramEnd"/>
      <w:r w:rsidRPr="00900F71">
        <w:rPr>
          <w:rFonts w:ascii="標楷體" w:eastAsia="標楷體" w:hAnsi="標楷體" w:cs="Arial Unicode MS"/>
          <w:sz w:val="24"/>
          <w:szCs w:val="24"/>
        </w:rPr>
        <w:t xml:space="preserve">夏普比率，也練習了 SMA </w:t>
      </w:r>
      <w:proofErr w:type="gramStart"/>
      <w:r w:rsidRPr="00900F71">
        <w:rPr>
          <w:rFonts w:ascii="標楷體" w:eastAsia="標楷體" w:hAnsi="標楷體" w:cs="Arial Unicode MS"/>
          <w:sz w:val="24"/>
          <w:szCs w:val="24"/>
        </w:rPr>
        <w:t>均線策略</w:t>
      </w:r>
      <w:proofErr w:type="gramEnd"/>
      <w:r w:rsidRPr="00900F71">
        <w:rPr>
          <w:rFonts w:ascii="標楷體" w:eastAsia="標楷體" w:hAnsi="標楷體" w:cs="Arial Unicode MS"/>
          <w:sz w:val="24"/>
          <w:szCs w:val="24"/>
        </w:rPr>
        <w:t>與 Pair Trading 的概念。這讓我了解到，一個策略不能只看最後有沒有賺錢，還要觀察過程中的風險、波動，以及策略是否具有穩定性。</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其中讓我印象最深刻的是老師提到的「倖存者偏差」。我們在回測時常常選用現在還存在的股票，但這些股票本身就是已經存活下來的公司。如果忽略那些下市、倒閉或表現不佳的股票，回測結果就可能被高估，讓策略看起來比實際上更有效。</w:t>
      </w:r>
    </w:p>
    <w:p w:rsidR="00912331" w:rsidRPr="00530D21" w:rsidRDefault="00900F71" w:rsidP="00530D21">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透過這次報告，我理解到量化交易不只是套用公式或技術指標，而是要用更嚴謹的方式檢查資料來源、風險與策略的可靠性。未來在分析投資策略時，我會更注意資料是否</w:t>
      </w:r>
      <w:proofErr w:type="gramStart"/>
      <w:r w:rsidRPr="00900F71">
        <w:rPr>
          <w:rFonts w:ascii="標楷體" w:eastAsia="標楷體" w:hAnsi="標楷體" w:cs="Arial Unicode MS"/>
          <w:sz w:val="24"/>
          <w:szCs w:val="24"/>
        </w:rPr>
        <w:t>有偏誤</w:t>
      </w:r>
      <w:proofErr w:type="gramEnd"/>
      <w:r w:rsidRPr="00900F71">
        <w:rPr>
          <w:rFonts w:ascii="標楷體" w:eastAsia="標楷體" w:hAnsi="標楷體" w:cs="Arial Unicode MS"/>
          <w:sz w:val="24"/>
          <w:szCs w:val="24"/>
        </w:rPr>
        <w:t>，也不會只用報酬率來判斷策略好壞，而是會同時考慮風險與穩定性。</w:t>
      </w:r>
    </w:p>
    <w:p w:rsidR="00912331" w:rsidRPr="00900F71" w:rsidRDefault="00900F71">
      <w:pPr>
        <w:rPr>
          <w:rFonts w:ascii="標楷體" w:eastAsia="標楷體" w:hAnsi="標楷體"/>
          <w:sz w:val="24"/>
          <w:szCs w:val="24"/>
        </w:rPr>
      </w:pPr>
      <w:r w:rsidRPr="00900F71">
        <w:rPr>
          <w:rFonts w:ascii="標楷體" w:eastAsia="標楷體" w:hAnsi="標楷體" w:cs="Arial Unicode MS"/>
          <w:sz w:val="24"/>
          <w:szCs w:val="24"/>
        </w:rPr>
        <w:t xml:space="preserve">      A1125511 林猷樂：</w:t>
      </w:r>
    </w:p>
    <w:p w:rsidR="00912331" w:rsidRPr="00DE5896" w:rsidRDefault="00900F71" w:rsidP="00DE5896">
      <w:pPr>
        <w:spacing w:before="240" w:after="240" w:line="240" w:lineRule="auto"/>
        <w:ind w:leftChars="386" w:left="849" w:firstLineChars="177" w:firstLine="425"/>
        <w:rPr>
          <w:rFonts w:ascii="標楷體" w:eastAsia="標楷體" w:hAnsi="標楷體" w:cs="Arial Unicode MS"/>
          <w:sz w:val="24"/>
          <w:szCs w:val="24"/>
        </w:rPr>
      </w:pPr>
      <w:r w:rsidRPr="00900F71">
        <w:rPr>
          <w:rFonts w:ascii="標楷體" w:eastAsia="標楷體" w:hAnsi="標楷體" w:cs="Arial Unicode MS"/>
          <w:sz w:val="24"/>
          <w:szCs w:val="24"/>
        </w:rPr>
        <w:t>這次專題讓我對量化交易有了更實際且深入的理解。在進行專題之前，我對投資策略的認識大多停留在理論層面，例如買進持有（Bu0.18y and Hold）、定期定額，</w:t>
      </w:r>
      <w:proofErr w:type="gramStart"/>
      <w:r w:rsidRPr="00900F71">
        <w:rPr>
          <w:rFonts w:ascii="標楷體" w:eastAsia="標楷體" w:hAnsi="標楷體" w:cs="Arial Unicode MS"/>
          <w:sz w:val="24"/>
          <w:szCs w:val="24"/>
        </w:rPr>
        <w:t>以及均線交叉</w:t>
      </w:r>
      <w:proofErr w:type="gramEnd"/>
      <w:r w:rsidRPr="00900F71">
        <w:rPr>
          <w:rFonts w:ascii="標楷體" w:eastAsia="標楷體" w:hAnsi="標楷體" w:cs="Arial Unicode MS"/>
          <w:sz w:val="24"/>
          <w:szCs w:val="24"/>
        </w:rPr>
        <w:t>等常見策略；但透過這次實作，我學會了如何利用 Yahoo Finance 取得歷史股價資料，並進一步將資料整理成</w:t>
      </w:r>
      <w:proofErr w:type="gramStart"/>
      <w:r w:rsidRPr="00900F71">
        <w:rPr>
          <w:rFonts w:ascii="標楷體" w:eastAsia="標楷體" w:hAnsi="標楷體" w:cs="Arial Unicode MS"/>
          <w:sz w:val="24"/>
          <w:szCs w:val="24"/>
        </w:rPr>
        <w:t>可供回測</w:t>
      </w:r>
      <w:proofErr w:type="gramEnd"/>
      <w:r w:rsidRPr="00900F71">
        <w:rPr>
          <w:rFonts w:ascii="標楷體" w:eastAsia="標楷體" w:hAnsi="標楷體" w:cs="Arial Unicode MS"/>
          <w:sz w:val="24"/>
          <w:szCs w:val="24"/>
        </w:rPr>
        <w:t>與視覺化分析的格式。在策略測試的過程中，我原本認為具備明確進出場規則的交易策略，應該能比單純持有股票獲得更高的報酬。然而，實際回測結果顯示，在大型科技股長期處於上升趨勢的情況下，Buy and Hold 反而有最佳的整體績效。Buy and Hold 雖然報酬較高，但最大</w:t>
      </w:r>
      <w:proofErr w:type="gramStart"/>
      <w:r w:rsidRPr="00900F71">
        <w:rPr>
          <w:rFonts w:ascii="標楷體" w:eastAsia="標楷體" w:hAnsi="標楷體" w:cs="Arial Unicode MS"/>
          <w:sz w:val="24"/>
          <w:szCs w:val="24"/>
        </w:rPr>
        <w:t>回撤（</w:t>
      </w:r>
      <w:proofErr w:type="gramEnd"/>
      <w:r w:rsidRPr="00900F71">
        <w:rPr>
          <w:rFonts w:ascii="標楷體" w:eastAsia="標楷體" w:hAnsi="標楷體" w:cs="Arial Unicode MS"/>
          <w:sz w:val="24"/>
          <w:szCs w:val="24"/>
        </w:rPr>
        <w:t>Maximum Drawdown）同樣較為明顯。這讓我更加理解投資中的風險與報酬通常是同時存在的，評估一個策略時不能只看最終獲利，也必須考慮投資期間所承受的波動與風險。整體而言，這次專題不僅讓我學習到量化交易的基本流程，也讓我開始能以較客觀、數據化的方式分析投資結果，而不只是憑感覺判斷策略好壞。</w:t>
      </w:r>
    </w:p>
    <w:p w:rsidR="00912331" w:rsidRPr="00900F71" w:rsidRDefault="00912331">
      <w:pPr>
        <w:rPr>
          <w:rFonts w:ascii="標楷體" w:eastAsia="標楷體" w:hAnsi="標楷體"/>
        </w:rPr>
      </w:pPr>
    </w:p>
    <w:p w:rsidR="00912331" w:rsidRPr="00900F71" w:rsidRDefault="00912331">
      <w:pPr>
        <w:rPr>
          <w:rFonts w:ascii="標楷體" w:eastAsia="標楷體" w:hAnsi="標楷體"/>
        </w:rPr>
      </w:pPr>
    </w:p>
    <w:p w:rsidR="00912331" w:rsidRPr="00900F71" w:rsidRDefault="00912331">
      <w:pPr>
        <w:rPr>
          <w:rFonts w:ascii="標楷體" w:eastAsia="標楷體" w:hAnsi="標楷體"/>
        </w:rPr>
      </w:pPr>
    </w:p>
    <w:p w:rsidR="00912331" w:rsidRPr="00900F71" w:rsidRDefault="00912331">
      <w:pPr>
        <w:rPr>
          <w:rFonts w:ascii="標楷體" w:eastAsia="標楷體" w:hAnsi="標楷體"/>
        </w:rPr>
      </w:pPr>
    </w:p>
    <w:p w:rsidR="00912331" w:rsidRPr="00900F71" w:rsidRDefault="00912331">
      <w:pPr>
        <w:spacing w:line="240" w:lineRule="auto"/>
        <w:rPr>
          <w:rFonts w:ascii="標楷體" w:eastAsia="標楷體" w:hAnsi="標楷體"/>
          <w:sz w:val="40"/>
          <w:szCs w:val="40"/>
        </w:rPr>
      </w:pPr>
    </w:p>
    <w:sectPr w:rsidR="00912331" w:rsidRPr="00900F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6DA85C80-8F0D-4779-BF63-F0AF4EDC68B3}"/>
  </w:font>
  <w:font w:name="標楷體">
    <w:panose1 w:val="03000509000000000000"/>
    <w:charset w:val="88"/>
    <w:family w:val="script"/>
    <w:pitch w:val="fixed"/>
    <w:sig w:usb0="00000003" w:usb1="080E0000" w:usb2="00000016" w:usb3="00000000" w:csb0="00100001" w:csb1="00000000"/>
    <w:embedRegular r:id="rId2" w:subsetted="1" w:fontKey="{783BB061-E6CF-4AE3-AAB2-4069D87BF0E7}"/>
    <w:embedBold r:id="rId3" w:subsetted="1" w:fontKey="{3F35C5C1-E009-4FC4-915D-3773CA8DAFBC}"/>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embedBold r:id="rId4" w:subsetted="1" w:fontKey="{78190594-8892-4B7F-A6EB-BE76BBBCBE55}"/>
  </w:font>
  <w:font w:name="Cambria">
    <w:panose1 w:val="02040503050406030204"/>
    <w:charset w:val="00"/>
    <w:family w:val="roman"/>
    <w:pitch w:val="variable"/>
    <w:sig w:usb0="E00006FF" w:usb1="420024FF" w:usb2="02000000" w:usb3="00000000" w:csb0="0000019F" w:csb1="00000000"/>
    <w:embedRegular r:id="rId5" w:fontKey="{D3D724EF-4881-44DD-AC70-0FBFB0EDE63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31B3"/>
    <w:multiLevelType w:val="hybridMultilevel"/>
    <w:tmpl w:val="DC5070C8"/>
    <w:lvl w:ilvl="0" w:tplc="04090001">
      <w:start w:val="1"/>
      <w:numFmt w:val="bullet"/>
      <w:lvlText w:val=""/>
      <w:lvlJc w:val="left"/>
      <w:pPr>
        <w:ind w:left="1537" w:hanging="480"/>
      </w:pPr>
      <w:rPr>
        <w:rFonts w:ascii="Wingdings" w:hAnsi="Wingdings" w:hint="default"/>
      </w:rPr>
    </w:lvl>
    <w:lvl w:ilvl="1" w:tplc="04090003" w:tentative="1">
      <w:start w:val="1"/>
      <w:numFmt w:val="bullet"/>
      <w:lvlText w:val=""/>
      <w:lvlJc w:val="left"/>
      <w:pPr>
        <w:ind w:left="2017" w:hanging="480"/>
      </w:pPr>
      <w:rPr>
        <w:rFonts w:ascii="Wingdings" w:hAnsi="Wingdings" w:hint="default"/>
      </w:rPr>
    </w:lvl>
    <w:lvl w:ilvl="2" w:tplc="04090005" w:tentative="1">
      <w:start w:val="1"/>
      <w:numFmt w:val="bullet"/>
      <w:lvlText w:val=""/>
      <w:lvlJc w:val="left"/>
      <w:pPr>
        <w:ind w:left="2497" w:hanging="480"/>
      </w:pPr>
      <w:rPr>
        <w:rFonts w:ascii="Wingdings" w:hAnsi="Wingdings" w:hint="default"/>
      </w:rPr>
    </w:lvl>
    <w:lvl w:ilvl="3" w:tplc="04090001" w:tentative="1">
      <w:start w:val="1"/>
      <w:numFmt w:val="bullet"/>
      <w:lvlText w:val=""/>
      <w:lvlJc w:val="left"/>
      <w:pPr>
        <w:ind w:left="2977" w:hanging="480"/>
      </w:pPr>
      <w:rPr>
        <w:rFonts w:ascii="Wingdings" w:hAnsi="Wingdings" w:hint="default"/>
      </w:rPr>
    </w:lvl>
    <w:lvl w:ilvl="4" w:tplc="04090003" w:tentative="1">
      <w:start w:val="1"/>
      <w:numFmt w:val="bullet"/>
      <w:lvlText w:val=""/>
      <w:lvlJc w:val="left"/>
      <w:pPr>
        <w:ind w:left="3457" w:hanging="480"/>
      </w:pPr>
      <w:rPr>
        <w:rFonts w:ascii="Wingdings" w:hAnsi="Wingdings" w:hint="default"/>
      </w:rPr>
    </w:lvl>
    <w:lvl w:ilvl="5" w:tplc="04090005" w:tentative="1">
      <w:start w:val="1"/>
      <w:numFmt w:val="bullet"/>
      <w:lvlText w:val=""/>
      <w:lvlJc w:val="left"/>
      <w:pPr>
        <w:ind w:left="3937" w:hanging="480"/>
      </w:pPr>
      <w:rPr>
        <w:rFonts w:ascii="Wingdings" w:hAnsi="Wingdings" w:hint="default"/>
      </w:rPr>
    </w:lvl>
    <w:lvl w:ilvl="6" w:tplc="04090001" w:tentative="1">
      <w:start w:val="1"/>
      <w:numFmt w:val="bullet"/>
      <w:lvlText w:val=""/>
      <w:lvlJc w:val="left"/>
      <w:pPr>
        <w:ind w:left="4417" w:hanging="480"/>
      </w:pPr>
      <w:rPr>
        <w:rFonts w:ascii="Wingdings" w:hAnsi="Wingdings" w:hint="default"/>
      </w:rPr>
    </w:lvl>
    <w:lvl w:ilvl="7" w:tplc="04090003" w:tentative="1">
      <w:start w:val="1"/>
      <w:numFmt w:val="bullet"/>
      <w:lvlText w:val=""/>
      <w:lvlJc w:val="left"/>
      <w:pPr>
        <w:ind w:left="4897" w:hanging="480"/>
      </w:pPr>
      <w:rPr>
        <w:rFonts w:ascii="Wingdings" w:hAnsi="Wingdings" w:hint="default"/>
      </w:rPr>
    </w:lvl>
    <w:lvl w:ilvl="8" w:tplc="04090005" w:tentative="1">
      <w:start w:val="1"/>
      <w:numFmt w:val="bullet"/>
      <w:lvlText w:val=""/>
      <w:lvlJc w:val="left"/>
      <w:pPr>
        <w:ind w:left="5377" w:hanging="480"/>
      </w:pPr>
      <w:rPr>
        <w:rFonts w:ascii="Wingdings" w:hAnsi="Wingdings" w:hint="default"/>
      </w:rPr>
    </w:lvl>
  </w:abstractNum>
  <w:abstractNum w:abstractNumId="1">
    <w:nsid w:val="037377E6"/>
    <w:multiLevelType w:val="multilevel"/>
    <w:tmpl w:val="F44A3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5357CEA"/>
    <w:multiLevelType w:val="hybridMultilevel"/>
    <w:tmpl w:val="C3B0AE88"/>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3">
    <w:nsid w:val="066D3987"/>
    <w:multiLevelType w:val="hybridMultilevel"/>
    <w:tmpl w:val="7A4EA4BE"/>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4">
    <w:nsid w:val="0681376E"/>
    <w:multiLevelType w:val="hybridMultilevel"/>
    <w:tmpl w:val="AA10BEF4"/>
    <w:lvl w:ilvl="0" w:tplc="04090001">
      <w:start w:val="1"/>
      <w:numFmt w:val="bullet"/>
      <w:lvlText w:val=""/>
      <w:lvlJc w:val="left"/>
      <w:pPr>
        <w:ind w:left="1253" w:hanging="480"/>
      </w:pPr>
      <w:rPr>
        <w:rFonts w:ascii="Wingdings" w:hAnsi="Wingdings" w:hint="default"/>
      </w:rPr>
    </w:lvl>
    <w:lvl w:ilvl="1" w:tplc="04090003" w:tentative="1">
      <w:start w:val="1"/>
      <w:numFmt w:val="bullet"/>
      <w:lvlText w:val=""/>
      <w:lvlJc w:val="left"/>
      <w:pPr>
        <w:ind w:left="1733" w:hanging="480"/>
      </w:pPr>
      <w:rPr>
        <w:rFonts w:ascii="Wingdings" w:hAnsi="Wingdings" w:hint="default"/>
      </w:rPr>
    </w:lvl>
    <w:lvl w:ilvl="2" w:tplc="04090005" w:tentative="1">
      <w:start w:val="1"/>
      <w:numFmt w:val="bullet"/>
      <w:lvlText w:val=""/>
      <w:lvlJc w:val="left"/>
      <w:pPr>
        <w:ind w:left="2213" w:hanging="480"/>
      </w:pPr>
      <w:rPr>
        <w:rFonts w:ascii="Wingdings" w:hAnsi="Wingdings" w:hint="default"/>
      </w:rPr>
    </w:lvl>
    <w:lvl w:ilvl="3" w:tplc="04090001" w:tentative="1">
      <w:start w:val="1"/>
      <w:numFmt w:val="bullet"/>
      <w:lvlText w:val=""/>
      <w:lvlJc w:val="left"/>
      <w:pPr>
        <w:ind w:left="2693" w:hanging="480"/>
      </w:pPr>
      <w:rPr>
        <w:rFonts w:ascii="Wingdings" w:hAnsi="Wingdings" w:hint="default"/>
      </w:rPr>
    </w:lvl>
    <w:lvl w:ilvl="4" w:tplc="04090003" w:tentative="1">
      <w:start w:val="1"/>
      <w:numFmt w:val="bullet"/>
      <w:lvlText w:val=""/>
      <w:lvlJc w:val="left"/>
      <w:pPr>
        <w:ind w:left="3173" w:hanging="480"/>
      </w:pPr>
      <w:rPr>
        <w:rFonts w:ascii="Wingdings" w:hAnsi="Wingdings" w:hint="default"/>
      </w:rPr>
    </w:lvl>
    <w:lvl w:ilvl="5" w:tplc="04090005" w:tentative="1">
      <w:start w:val="1"/>
      <w:numFmt w:val="bullet"/>
      <w:lvlText w:val=""/>
      <w:lvlJc w:val="left"/>
      <w:pPr>
        <w:ind w:left="3653" w:hanging="480"/>
      </w:pPr>
      <w:rPr>
        <w:rFonts w:ascii="Wingdings" w:hAnsi="Wingdings" w:hint="default"/>
      </w:rPr>
    </w:lvl>
    <w:lvl w:ilvl="6" w:tplc="04090001" w:tentative="1">
      <w:start w:val="1"/>
      <w:numFmt w:val="bullet"/>
      <w:lvlText w:val=""/>
      <w:lvlJc w:val="left"/>
      <w:pPr>
        <w:ind w:left="4133" w:hanging="480"/>
      </w:pPr>
      <w:rPr>
        <w:rFonts w:ascii="Wingdings" w:hAnsi="Wingdings" w:hint="default"/>
      </w:rPr>
    </w:lvl>
    <w:lvl w:ilvl="7" w:tplc="04090003" w:tentative="1">
      <w:start w:val="1"/>
      <w:numFmt w:val="bullet"/>
      <w:lvlText w:val=""/>
      <w:lvlJc w:val="left"/>
      <w:pPr>
        <w:ind w:left="4613" w:hanging="480"/>
      </w:pPr>
      <w:rPr>
        <w:rFonts w:ascii="Wingdings" w:hAnsi="Wingdings" w:hint="default"/>
      </w:rPr>
    </w:lvl>
    <w:lvl w:ilvl="8" w:tplc="04090005" w:tentative="1">
      <w:start w:val="1"/>
      <w:numFmt w:val="bullet"/>
      <w:lvlText w:val=""/>
      <w:lvlJc w:val="left"/>
      <w:pPr>
        <w:ind w:left="5093" w:hanging="480"/>
      </w:pPr>
      <w:rPr>
        <w:rFonts w:ascii="Wingdings" w:hAnsi="Wingdings" w:hint="default"/>
      </w:rPr>
    </w:lvl>
  </w:abstractNum>
  <w:abstractNum w:abstractNumId="5">
    <w:nsid w:val="06DB2896"/>
    <w:multiLevelType w:val="hybridMultilevel"/>
    <w:tmpl w:val="6C74189A"/>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6">
    <w:nsid w:val="08C65095"/>
    <w:multiLevelType w:val="multilevel"/>
    <w:tmpl w:val="6FE2A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9F10C9A"/>
    <w:multiLevelType w:val="multilevel"/>
    <w:tmpl w:val="5D9C9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B7237A2"/>
    <w:multiLevelType w:val="multilevel"/>
    <w:tmpl w:val="0BFAE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C9A2D35"/>
    <w:multiLevelType w:val="multilevel"/>
    <w:tmpl w:val="06066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FA016F4"/>
    <w:multiLevelType w:val="multilevel"/>
    <w:tmpl w:val="A37E9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0A840E8"/>
    <w:multiLevelType w:val="hybridMultilevel"/>
    <w:tmpl w:val="AE465AB0"/>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12">
    <w:nsid w:val="147D2CCF"/>
    <w:multiLevelType w:val="hybridMultilevel"/>
    <w:tmpl w:val="966C5668"/>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13">
    <w:nsid w:val="1B565C22"/>
    <w:multiLevelType w:val="hybridMultilevel"/>
    <w:tmpl w:val="A9104734"/>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14">
    <w:nsid w:val="2389021B"/>
    <w:multiLevelType w:val="hybridMultilevel"/>
    <w:tmpl w:val="F08A6A24"/>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15">
    <w:nsid w:val="246C72E3"/>
    <w:multiLevelType w:val="hybridMultilevel"/>
    <w:tmpl w:val="76BED792"/>
    <w:lvl w:ilvl="0" w:tplc="04090001">
      <w:start w:val="1"/>
      <w:numFmt w:val="bullet"/>
      <w:lvlText w:val=""/>
      <w:lvlJc w:val="left"/>
      <w:pPr>
        <w:ind w:left="1820" w:hanging="480"/>
      </w:pPr>
      <w:rPr>
        <w:rFonts w:ascii="Wingdings" w:hAnsi="Wingdings" w:hint="default"/>
      </w:rPr>
    </w:lvl>
    <w:lvl w:ilvl="1" w:tplc="04090003" w:tentative="1">
      <w:start w:val="1"/>
      <w:numFmt w:val="bullet"/>
      <w:lvlText w:val=""/>
      <w:lvlJc w:val="left"/>
      <w:pPr>
        <w:ind w:left="2300" w:hanging="480"/>
      </w:pPr>
      <w:rPr>
        <w:rFonts w:ascii="Wingdings" w:hAnsi="Wingdings" w:hint="default"/>
      </w:rPr>
    </w:lvl>
    <w:lvl w:ilvl="2" w:tplc="04090005" w:tentative="1">
      <w:start w:val="1"/>
      <w:numFmt w:val="bullet"/>
      <w:lvlText w:val=""/>
      <w:lvlJc w:val="left"/>
      <w:pPr>
        <w:ind w:left="2780" w:hanging="480"/>
      </w:pPr>
      <w:rPr>
        <w:rFonts w:ascii="Wingdings" w:hAnsi="Wingdings" w:hint="default"/>
      </w:rPr>
    </w:lvl>
    <w:lvl w:ilvl="3" w:tplc="04090001" w:tentative="1">
      <w:start w:val="1"/>
      <w:numFmt w:val="bullet"/>
      <w:lvlText w:val=""/>
      <w:lvlJc w:val="left"/>
      <w:pPr>
        <w:ind w:left="3260" w:hanging="480"/>
      </w:pPr>
      <w:rPr>
        <w:rFonts w:ascii="Wingdings" w:hAnsi="Wingdings" w:hint="default"/>
      </w:rPr>
    </w:lvl>
    <w:lvl w:ilvl="4" w:tplc="04090003" w:tentative="1">
      <w:start w:val="1"/>
      <w:numFmt w:val="bullet"/>
      <w:lvlText w:val=""/>
      <w:lvlJc w:val="left"/>
      <w:pPr>
        <w:ind w:left="3740" w:hanging="480"/>
      </w:pPr>
      <w:rPr>
        <w:rFonts w:ascii="Wingdings" w:hAnsi="Wingdings" w:hint="default"/>
      </w:rPr>
    </w:lvl>
    <w:lvl w:ilvl="5" w:tplc="04090005" w:tentative="1">
      <w:start w:val="1"/>
      <w:numFmt w:val="bullet"/>
      <w:lvlText w:val=""/>
      <w:lvlJc w:val="left"/>
      <w:pPr>
        <w:ind w:left="4220" w:hanging="480"/>
      </w:pPr>
      <w:rPr>
        <w:rFonts w:ascii="Wingdings" w:hAnsi="Wingdings" w:hint="default"/>
      </w:rPr>
    </w:lvl>
    <w:lvl w:ilvl="6" w:tplc="04090001" w:tentative="1">
      <w:start w:val="1"/>
      <w:numFmt w:val="bullet"/>
      <w:lvlText w:val=""/>
      <w:lvlJc w:val="left"/>
      <w:pPr>
        <w:ind w:left="4700" w:hanging="480"/>
      </w:pPr>
      <w:rPr>
        <w:rFonts w:ascii="Wingdings" w:hAnsi="Wingdings" w:hint="default"/>
      </w:rPr>
    </w:lvl>
    <w:lvl w:ilvl="7" w:tplc="04090003" w:tentative="1">
      <w:start w:val="1"/>
      <w:numFmt w:val="bullet"/>
      <w:lvlText w:val=""/>
      <w:lvlJc w:val="left"/>
      <w:pPr>
        <w:ind w:left="5180" w:hanging="480"/>
      </w:pPr>
      <w:rPr>
        <w:rFonts w:ascii="Wingdings" w:hAnsi="Wingdings" w:hint="default"/>
      </w:rPr>
    </w:lvl>
    <w:lvl w:ilvl="8" w:tplc="04090005" w:tentative="1">
      <w:start w:val="1"/>
      <w:numFmt w:val="bullet"/>
      <w:lvlText w:val=""/>
      <w:lvlJc w:val="left"/>
      <w:pPr>
        <w:ind w:left="5660" w:hanging="480"/>
      </w:pPr>
      <w:rPr>
        <w:rFonts w:ascii="Wingdings" w:hAnsi="Wingdings" w:hint="default"/>
      </w:rPr>
    </w:lvl>
  </w:abstractNum>
  <w:abstractNum w:abstractNumId="16">
    <w:nsid w:val="257C2DA4"/>
    <w:multiLevelType w:val="hybridMultilevel"/>
    <w:tmpl w:val="7546662A"/>
    <w:lvl w:ilvl="0" w:tplc="04090001">
      <w:start w:val="1"/>
      <w:numFmt w:val="bullet"/>
      <w:lvlText w:val=""/>
      <w:lvlJc w:val="left"/>
      <w:pPr>
        <w:ind w:left="1658" w:hanging="480"/>
      </w:pPr>
      <w:rPr>
        <w:rFonts w:ascii="Wingdings" w:hAnsi="Wingdings" w:hint="default"/>
      </w:rPr>
    </w:lvl>
    <w:lvl w:ilvl="1" w:tplc="04090003" w:tentative="1">
      <w:start w:val="1"/>
      <w:numFmt w:val="bullet"/>
      <w:lvlText w:val=""/>
      <w:lvlJc w:val="left"/>
      <w:pPr>
        <w:ind w:left="2138" w:hanging="480"/>
      </w:pPr>
      <w:rPr>
        <w:rFonts w:ascii="Wingdings" w:hAnsi="Wingdings" w:hint="default"/>
      </w:rPr>
    </w:lvl>
    <w:lvl w:ilvl="2" w:tplc="04090005" w:tentative="1">
      <w:start w:val="1"/>
      <w:numFmt w:val="bullet"/>
      <w:lvlText w:val=""/>
      <w:lvlJc w:val="left"/>
      <w:pPr>
        <w:ind w:left="2618" w:hanging="480"/>
      </w:pPr>
      <w:rPr>
        <w:rFonts w:ascii="Wingdings" w:hAnsi="Wingdings" w:hint="default"/>
      </w:rPr>
    </w:lvl>
    <w:lvl w:ilvl="3" w:tplc="04090001" w:tentative="1">
      <w:start w:val="1"/>
      <w:numFmt w:val="bullet"/>
      <w:lvlText w:val=""/>
      <w:lvlJc w:val="left"/>
      <w:pPr>
        <w:ind w:left="3098" w:hanging="480"/>
      </w:pPr>
      <w:rPr>
        <w:rFonts w:ascii="Wingdings" w:hAnsi="Wingdings" w:hint="default"/>
      </w:rPr>
    </w:lvl>
    <w:lvl w:ilvl="4" w:tplc="04090003" w:tentative="1">
      <w:start w:val="1"/>
      <w:numFmt w:val="bullet"/>
      <w:lvlText w:val=""/>
      <w:lvlJc w:val="left"/>
      <w:pPr>
        <w:ind w:left="3578" w:hanging="480"/>
      </w:pPr>
      <w:rPr>
        <w:rFonts w:ascii="Wingdings" w:hAnsi="Wingdings" w:hint="default"/>
      </w:rPr>
    </w:lvl>
    <w:lvl w:ilvl="5" w:tplc="04090005" w:tentative="1">
      <w:start w:val="1"/>
      <w:numFmt w:val="bullet"/>
      <w:lvlText w:val=""/>
      <w:lvlJc w:val="left"/>
      <w:pPr>
        <w:ind w:left="4058" w:hanging="480"/>
      </w:pPr>
      <w:rPr>
        <w:rFonts w:ascii="Wingdings" w:hAnsi="Wingdings" w:hint="default"/>
      </w:rPr>
    </w:lvl>
    <w:lvl w:ilvl="6" w:tplc="04090001" w:tentative="1">
      <w:start w:val="1"/>
      <w:numFmt w:val="bullet"/>
      <w:lvlText w:val=""/>
      <w:lvlJc w:val="left"/>
      <w:pPr>
        <w:ind w:left="4538" w:hanging="480"/>
      </w:pPr>
      <w:rPr>
        <w:rFonts w:ascii="Wingdings" w:hAnsi="Wingdings" w:hint="default"/>
      </w:rPr>
    </w:lvl>
    <w:lvl w:ilvl="7" w:tplc="04090003" w:tentative="1">
      <w:start w:val="1"/>
      <w:numFmt w:val="bullet"/>
      <w:lvlText w:val=""/>
      <w:lvlJc w:val="left"/>
      <w:pPr>
        <w:ind w:left="5018" w:hanging="480"/>
      </w:pPr>
      <w:rPr>
        <w:rFonts w:ascii="Wingdings" w:hAnsi="Wingdings" w:hint="default"/>
      </w:rPr>
    </w:lvl>
    <w:lvl w:ilvl="8" w:tplc="04090005" w:tentative="1">
      <w:start w:val="1"/>
      <w:numFmt w:val="bullet"/>
      <w:lvlText w:val=""/>
      <w:lvlJc w:val="left"/>
      <w:pPr>
        <w:ind w:left="5498" w:hanging="480"/>
      </w:pPr>
      <w:rPr>
        <w:rFonts w:ascii="Wingdings" w:hAnsi="Wingdings" w:hint="default"/>
      </w:rPr>
    </w:lvl>
  </w:abstractNum>
  <w:abstractNum w:abstractNumId="17">
    <w:nsid w:val="26A84005"/>
    <w:multiLevelType w:val="multilevel"/>
    <w:tmpl w:val="A810F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E1063B9"/>
    <w:multiLevelType w:val="multilevel"/>
    <w:tmpl w:val="1E841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28B293B"/>
    <w:multiLevelType w:val="multilevel"/>
    <w:tmpl w:val="F502E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3644904"/>
    <w:multiLevelType w:val="hybridMultilevel"/>
    <w:tmpl w:val="B0261AEC"/>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21">
    <w:nsid w:val="351F1D7D"/>
    <w:multiLevelType w:val="multilevel"/>
    <w:tmpl w:val="EA207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8FB473A"/>
    <w:multiLevelType w:val="hybridMultilevel"/>
    <w:tmpl w:val="971C81EC"/>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23">
    <w:nsid w:val="39181F7B"/>
    <w:multiLevelType w:val="hybridMultilevel"/>
    <w:tmpl w:val="D67AB53E"/>
    <w:lvl w:ilvl="0" w:tplc="04090001">
      <w:start w:val="1"/>
      <w:numFmt w:val="bullet"/>
      <w:lvlText w:val=""/>
      <w:lvlJc w:val="left"/>
      <w:pPr>
        <w:ind w:left="1537" w:hanging="480"/>
      </w:pPr>
      <w:rPr>
        <w:rFonts w:ascii="Wingdings" w:hAnsi="Wingdings" w:hint="default"/>
      </w:rPr>
    </w:lvl>
    <w:lvl w:ilvl="1" w:tplc="04090003" w:tentative="1">
      <w:start w:val="1"/>
      <w:numFmt w:val="bullet"/>
      <w:lvlText w:val=""/>
      <w:lvlJc w:val="left"/>
      <w:pPr>
        <w:ind w:left="2017" w:hanging="480"/>
      </w:pPr>
      <w:rPr>
        <w:rFonts w:ascii="Wingdings" w:hAnsi="Wingdings" w:hint="default"/>
      </w:rPr>
    </w:lvl>
    <w:lvl w:ilvl="2" w:tplc="04090005" w:tentative="1">
      <w:start w:val="1"/>
      <w:numFmt w:val="bullet"/>
      <w:lvlText w:val=""/>
      <w:lvlJc w:val="left"/>
      <w:pPr>
        <w:ind w:left="2497" w:hanging="480"/>
      </w:pPr>
      <w:rPr>
        <w:rFonts w:ascii="Wingdings" w:hAnsi="Wingdings" w:hint="default"/>
      </w:rPr>
    </w:lvl>
    <w:lvl w:ilvl="3" w:tplc="04090001" w:tentative="1">
      <w:start w:val="1"/>
      <w:numFmt w:val="bullet"/>
      <w:lvlText w:val=""/>
      <w:lvlJc w:val="left"/>
      <w:pPr>
        <w:ind w:left="2977" w:hanging="480"/>
      </w:pPr>
      <w:rPr>
        <w:rFonts w:ascii="Wingdings" w:hAnsi="Wingdings" w:hint="default"/>
      </w:rPr>
    </w:lvl>
    <w:lvl w:ilvl="4" w:tplc="04090003" w:tentative="1">
      <w:start w:val="1"/>
      <w:numFmt w:val="bullet"/>
      <w:lvlText w:val=""/>
      <w:lvlJc w:val="left"/>
      <w:pPr>
        <w:ind w:left="3457" w:hanging="480"/>
      </w:pPr>
      <w:rPr>
        <w:rFonts w:ascii="Wingdings" w:hAnsi="Wingdings" w:hint="default"/>
      </w:rPr>
    </w:lvl>
    <w:lvl w:ilvl="5" w:tplc="04090005" w:tentative="1">
      <w:start w:val="1"/>
      <w:numFmt w:val="bullet"/>
      <w:lvlText w:val=""/>
      <w:lvlJc w:val="left"/>
      <w:pPr>
        <w:ind w:left="3937" w:hanging="480"/>
      </w:pPr>
      <w:rPr>
        <w:rFonts w:ascii="Wingdings" w:hAnsi="Wingdings" w:hint="default"/>
      </w:rPr>
    </w:lvl>
    <w:lvl w:ilvl="6" w:tplc="04090001" w:tentative="1">
      <w:start w:val="1"/>
      <w:numFmt w:val="bullet"/>
      <w:lvlText w:val=""/>
      <w:lvlJc w:val="left"/>
      <w:pPr>
        <w:ind w:left="4417" w:hanging="480"/>
      </w:pPr>
      <w:rPr>
        <w:rFonts w:ascii="Wingdings" w:hAnsi="Wingdings" w:hint="default"/>
      </w:rPr>
    </w:lvl>
    <w:lvl w:ilvl="7" w:tplc="04090003" w:tentative="1">
      <w:start w:val="1"/>
      <w:numFmt w:val="bullet"/>
      <w:lvlText w:val=""/>
      <w:lvlJc w:val="left"/>
      <w:pPr>
        <w:ind w:left="4897" w:hanging="480"/>
      </w:pPr>
      <w:rPr>
        <w:rFonts w:ascii="Wingdings" w:hAnsi="Wingdings" w:hint="default"/>
      </w:rPr>
    </w:lvl>
    <w:lvl w:ilvl="8" w:tplc="04090005" w:tentative="1">
      <w:start w:val="1"/>
      <w:numFmt w:val="bullet"/>
      <w:lvlText w:val=""/>
      <w:lvlJc w:val="left"/>
      <w:pPr>
        <w:ind w:left="5377" w:hanging="480"/>
      </w:pPr>
      <w:rPr>
        <w:rFonts w:ascii="Wingdings" w:hAnsi="Wingdings" w:hint="default"/>
      </w:rPr>
    </w:lvl>
  </w:abstractNum>
  <w:abstractNum w:abstractNumId="24">
    <w:nsid w:val="3A4A5744"/>
    <w:multiLevelType w:val="hybridMultilevel"/>
    <w:tmpl w:val="16644554"/>
    <w:lvl w:ilvl="0" w:tplc="04090001">
      <w:start w:val="1"/>
      <w:numFmt w:val="bullet"/>
      <w:lvlText w:val=""/>
      <w:lvlJc w:val="left"/>
      <w:pPr>
        <w:ind w:left="1537" w:hanging="480"/>
      </w:pPr>
      <w:rPr>
        <w:rFonts w:ascii="Wingdings" w:hAnsi="Wingdings" w:hint="default"/>
      </w:rPr>
    </w:lvl>
    <w:lvl w:ilvl="1" w:tplc="04090003" w:tentative="1">
      <w:start w:val="1"/>
      <w:numFmt w:val="bullet"/>
      <w:lvlText w:val=""/>
      <w:lvlJc w:val="left"/>
      <w:pPr>
        <w:ind w:left="2017" w:hanging="480"/>
      </w:pPr>
      <w:rPr>
        <w:rFonts w:ascii="Wingdings" w:hAnsi="Wingdings" w:hint="default"/>
      </w:rPr>
    </w:lvl>
    <w:lvl w:ilvl="2" w:tplc="04090005" w:tentative="1">
      <w:start w:val="1"/>
      <w:numFmt w:val="bullet"/>
      <w:lvlText w:val=""/>
      <w:lvlJc w:val="left"/>
      <w:pPr>
        <w:ind w:left="2497" w:hanging="480"/>
      </w:pPr>
      <w:rPr>
        <w:rFonts w:ascii="Wingdings" w:hAnsi="Wingdings" w:hint="default"/>
      </w:rPr>
    </w:lvl>
    <w:lvl w:ilvl="3" w:tplc="04090001" w:tentative="1">
      <w:start w:val="1"/>
      <w:numFmt w:val="bullet"/>
      <w:lvlText w:val=""/>
      <w:lvlJc w:val="left"/>
      <w:pPr>
        <w:ind w:left="2977" w:hanging="480"/>
      </w:pPr>
      <w:rPr>
        <w:rFonts w:ascii="Wingdings" w:hAnsi="Wingdings" w:hint="default"/>
      </w:rPr>
    </w:lvl>
    <w:lvl w:ilvl="4" w:tplc="04090003" w:tentative="1">
      <w:start w:val="1"/>
      <w:numFmt w:val="bullet"/>
      <w:lvlText w:val=""/>
      <w:lvlJc w:val="left"/>
      <w:pPr>
        <w:ind w:left="3457" w:hanging="480"/>
      </w:pPr>
      <w:rPr>
        <w:rFonts w:ascii="Wingdings" w:hAnsi="Wingdings" w:hint="default"/>
      </w:rPr>
    </w:lvl>
    <w:lvl w:ilvl="5" w:tplc="04090005" w:tentative="1">
      <w:start w:val="1"/>
      <w:numFmt w:val="bullet"/>
      <w:lvlText w:val=""/>
      <w:lvlJc w:val="left"/>
      <w:pPr>
        <w:ind w:left="3937" w:hanging="480"/>
      </w:pPr>
      <w:rPr>
        <w:rFonts w:ascii="Wingdings" w:hAnsi="Wingdings" w:hint="default"/>
      </w:rPr>
    </w:lvl>
    <w:lvl w:ilvl="6" w:tplc="04090001" w:tentative="1">
      <w:start w:val="1"/>
      <w:numFmt w:val="bullet"/>
      <w:lvlText w:val=""/>
      <w:lvlJc w:val="left"/>
      <w:pPr>
        <w:ind w:left="4417" w:hanging="480"/>
      </w:pPr>
      <w:rPr>
        <w:rFonts w:ascii="Wingdings" w:hAnsi="Wingdings" w:hint="default"/>
      </w:rPr>
    </w:lvl>
    <w:lvl w:ilvl="7" w:tplc="04090003" w:tentative="1">
      <w:start w:val="1"/>
      <w:numFmt w:val="bullet"/>
      <w:lvlText w:val=""/>
      <w:lvlJc w:val="left"/>
      <w:pPr>
        <w:ind w:left="4897" w:hanging="480"/>
      </w:pPr>
      <w:rPr>
        <w:rFonts w:ascii="Wingdings" w:hAnsi="Wingdings" w:hint="default"/>
      </w:rPr>
    </w:lvl>
    <w:lvl w:ilvl="8" w:tplc="04090005" w:tentative="1">
      <w:start w:val="1"/>
      <w:numFmt w:val="bullet"/>
      <w:lvlText w:val=""/>
      <w:lvlJc w:val="left"/>
      <w:pPr>
        <w:ind w:left="5377" w:hanging="480"/>
      </w:pPr>
      <w:rPr>
        <w:rFonts w:ascii="Wingdings" w:hAnsi="Wingdings" w:hint="default"/>
      </w:rPr>
    </w:lvl>
  </w:abstractNum>
  <w:abstractNum w:abstractNumId="25">
    <w:nsid w:val="418F547E"/>
    <w:multiLevelType w:val="hybridMultilevel"/>
    <w:tmpl w:val="504CCA1A"/>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26">
    <w:nsid w:val="46A97B44"/>
    <w:multiLevelType w:val="hybridMultilevel"/>
    <w:tmpl w:val="517C6D22"/>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27">
    <w:nsid w:val="46CA7651"/>
    <w:multiLevelType w:val="hybridMultilevel"/>
    <w:tmpl w:val="A14EB810"/>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28">
    <w:nsid w:val="47D44ED2"/>
    <w:multiLevelType w:val="hybridMultilevel"/>
    <w:tmpl w:val="1AFA67E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9">
    <w:nsid w:val="4B5F32C1"/>
    <w:multiLevelType w:val="multilevel"/>
    <w:tmpl w:val="9FC27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CD2643B"/>
    <w:multiLevelType w:val="hybridMultilevel"/>
    <w:tmpl w:val="E16A646A"/>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31">
    <w:nsid w:val="4E9153A8"/>
    <w:multiLevelType w:val="hybridMultilevel"/>
    <w:tmpl w:val="23EED47E"/>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32">
    <w:nsid w:val="5AB10501"/>
    <w:multiLevelType w:val="hybridMultilevel"/>
    <w:tmpl w:val="AE4636E6"/>
    <w:lvl w:ilvl="0" w:tplc="04090001">
      <w:start w:val="1"/>
      <w:numFmt w:val="bullet"/>
      <w:lvlText w:val=""/>
      <w:lvlJc w:val="left"/>
      <w:pPr>
        <w:ind w:left="1613" w:hanging="480"/>
      </w:pPr>
      <w:rPr>
        <w:rFonts w:ascii="Wingdings" w:hAnsi="Wingdings" w:hint="default"/>
      </w:rPr>
    </w:lvl>
    <w:lvl w:ilvl="1" w:tplc="04090003" w:tentative="1">
      <w:start w:val="1"/>
      <w:numFmt w:val="bullet"/>
      <w:lvlText w:val=""/>
      <w:lvlJc w:val="left"/>
      <w:pPr>
        <w:ind w:left="2093" w:hanging="480"/>
      </w:pPr>
      <w:rPr>
        <w:rFonts w:ascii="Wingdings" w:hAnsi="Wingdings" w:hint="default"/>
      </w:rPr>
    </w:lvl>
    <w:lvl w:ilvl="2" w:tplc="04090005" w:tentative="1">
      <w:start w:val="1"/>
      <w:numFmt w:val="bullet"/>
      <w:lvlText w:val=""/>
      <w:lvlJc w:val="left"/>
      <w:pPr>
        <w:ind w:left="2573" w:hanging="480"/>
      </w:pPr>
      <w:rPr>
        <w:rFonts w:ascii="Wingdings" w:hAnsi="Wingdings" w:hint="default"/>
      </w:rPr>
    </w:lvl>
    <w:lvl w:ilvl="3" w:tplc="04090001" w:tentative="1">
      <w:start w:val="1"/>
      <w:numFmt w:val="bullet"/>
      <w:lvlText w:val=""/>
      <w:lvlJc w:val="left"/>
      <w:pPr>
        <w:ind w:left="3053" w:hanging="480"/>
      </w:pPr>
      <w:rPr>
        <w:rFonts w:ascii="Wingdings" w:hAnsi="Wingdings" w:hint="default"/>
      </w:rPr>
    </w:lvl>
    <w:lvl w:ilvl="4" w:tplc="04090003" w:tentative="1">
      <w:start w:val="1"/>
      <w:numFmt w:val="bullet"/>
      <w:lvlText w:val=""/>
      <w:lvlJc w:val="left"/>
      <w:pPr>
        <w:ind w:left="3533" w:hanging="480"/>
      </w:pPr>
      <w:rPr>
        <w:rFonts w:ascii="Wingdings" w:hAnsi="Wingdings" w:hint="default"/>
      </w:rPr>
    </w:lvl>
    <w:lvl w:ilvl="5" w:tplc="04090005" w:tentative="1">
      <w:start w:val="1"/>
      <w:numFmt w:val="bullet"/>
      <w:lvlText w:val=""/>
      <w:lvlJc w:val="left"/>
      <w:pPr>
        <w:ind w:left="4013" w:hanging="480"/>
      </w:pPr>
      <w:rPr>
        <w:rFonts w:ascii="Wingdings" w:hAnsi="Wingdings" w:hint="default"/>
      </w:rPr>
    </w:lvl>
    <w:lvl w:ilvl="6" w:tplc="04090001" w:tentative="1">
      <w:start w:val="1"/>
      <w:numFmt w:val="bullet"/>
      <w:lvlText w:val=""/>
      <w:lvlJc w:val="left"/>
      <w:pPr>
        <w:ind w:left="4493" w:hanging="480"/>
      </w:pPr>
      <w:rPr>
        <w:rFonts w:ascii="Wingdings" w:hAnsi="Wingdings" w:hint="default"/>
      </w:rPr>
    </w:lvl>
    <w:lvl w:ilvl="7" w:tplc="04090003" w:tentative="1">
      <w:start w:val="1"/>
      <w:numFmt w:val="bullet"/>
      <w:lvlText w:val=""/>
      <w:lvlJc w:val="left"/>
      <w:pPr>
        <w:ind w:left="4973" w:hanging="480"/>
      </w:pPr>
      <w:rPr>
        <w:rFonts w:ascii="Wingdings" w:hAnsi="Wingdings" w:hint="default"/>
      </w:rPr>
    </w:lvl>
    <w:lvl w:ilvl="8" w:tplc="04090005" w:tentative="1">
      <w:start w:val="1"/>
      <w:numFmt w:val="bullet"/>
      <w:lvlText w:val=""/>
      <w:lvlJc w:val="left"/>
      <w:pPr>
        <w:ind w:left="5453" w:hanging="480"/>
      </w:pPr>
      <w:rPr>
        <w:rFonts w:ascii="Wingdings" w:hAnsi="Wingdings" w:hint="default"/>
      </w:rPr>
    </w:lvl>
  </w:abstractNum>
  <w:abstractNum w:abstractNumId="33">
    <w:nsid w:val="626B7E6C"/>
    <w:multiLevelType w:val="hybridMultilevel"/>
    <w:tmpl w:val="9A8A481C"/>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abstractNum w:abstractNumId="34">
    <w:nsid w:val="678C2F9B"/>
    <w:multiLevelType w:val="multilevel"/>
    <w:tmpl w:val="F620B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69192041"/>
    <w:multiLevelType w:val="multilevel"/>
    <w:tmpl w:val="0734B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6A0B6D15"/>
    <w:multiLevelType w:val="multilevel"/>
    <w:tmpl w:val="13D66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71077507"/>
    <w:multiLevelType w:val="multilevel"/>
    <w:tmpl w:val="A50E9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713E17EA"/>
    <w:multiLevelType w:val="hybridMultilevel"/>
    <w:tmpl w:val="670A5FEA"/>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39">
    <w:nsid w:val="722F57BB"/>
    <w:multiLevelType w:val="multilevel"/>
    <w:tmpl w:val="CF72D8AA"/>
    <w:lvl w:ilvl="0">
      <w:start w:val="1"/>
      <w:numFmt w:val="decimal"/>
      <w:lvlText w:val="%1."/>
      <w:lvlJc w:val="left"/>
      <w:pPr>
        <w:ind w:left="425" w:hanging="43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738E6E8E"/>
    <w:multiLevelType w:val="multilevel"/>
    <w:tmpl w:val="1C22C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772F16AA"/>
    <w:multiLevelType w:val="hybridMultilevel"/>
    <w:tmpl w:val="755023B2"/>
    <w:lvl w:ilvl="0" w:tplc="04090001">
      <w:start w:val="1"/>
      <w:numFmt w:val="bullet"/>
      <w:lvlText w:val=""/>
      <w:lvlJc w:val="left"/>
      <w:pPr>
        <w:ind w:left="1679" w:hanging="480"/>
      </w:pPr>
      <w:rPr>
        <w:rFonts w:ascii="Wingdings" w:hAnsi="Wingdings" w:hint="default"/>
      </w:rPr>
    </w:lvl>
    <w:lvl w:ilvl="1" w:tplc="04090003" w:tentative="1">
      <w:start w:val="1"/>
      <w:numFmt w:val="bullet"/>
      <w:lvlText w:val=""/>
      <w:lvlJc w:val="left"/>
      <w:pPr>
        <w:ind w:left="2159" w:hanging="480"/>
      </w:pPr>
      <w:rPr>
        <w:rFonts w:ascii="Wingdings" w:hAnsi="Wingdings" w:hint="default"/>
      </w:rPr>
    </w:lvl>
    <w:lvl w:ilvl="2" w:tplc="04090005" w:tentative="1">
      <w:start w:val="1"/>
      <w:numFmt w:val="bullet"/>
      <w:lvlText w:val=""/>
      <w:lvlJc w:val="left"/>
      <w:pPr>
        <w:ind w:left="2639" w:hanging="480"/>
      </w:pPr>
      <w:rPr>
        <w:rFonts w:ascii="Wingdings" w:hAnsi="Wingdings" w:hint="default"/>
      </w:rPr>
    </w:lvl>
    <w:lvl w:ilvl="3" w:tplc="04090001" w:tentative="1">
      <w:start w:val="1"/>
      <w:numFmt w:val="bullet"/>
      <w:lvlText w:val=""/>
      <w:lvlJc w:val="left"/>
      <w:pPr>
        <w:ind w:left="3119" w:hanging="480"/>
      </w:pPr>
      <w:rPr>
        <w:rFonts w:ascii="Wingdings" w:hAnsi="Wingdings" w:hint="default"/>
      </w:rPr>
    </w:lvl>
    <w:lvl w:ilvl="4" w:tplc="04090003" w:tentative="1">
      <w:start w:val="1"/>
      <w:numFmt w:val="bullet"/>
      <w:lvlText w:val=""/>
      <w:lvlJc w:val="left"/>
      <w:pPr>
        <w:ind w:left="3599" w:hanging="480"/>
      </w:pPr>
      <w:rPr>
        <w:rFonts w:ascii="Wingdings" w:hAnsi="Wingdings" w:hint="default"/>
      </w:rPr>
    </w:lvl>
    <w:lvl w:ilvl="5" w:tplc="04090005" w:tentative="1">
      <w:start w:val="1"/>
      <w:numFmt w:val="bullet"/>
      <w:lvlText w:val=""/>
      <w:lvlJc w:val="left"/>
      <w:pPr>
        <w:ind w:left="4079" w:hanging="480"/>
      </w:pPr>
      <w:rPr>
        <w:rFonts w:ascii="Wingdings" w:hAnsi="Wingdings" w:hint="default"/>
      </w:rPr>
    </w:lvl>
    <w:lvl w:ilvl="6" w:tplc="04090001" w:tentative="1">
      <w:start w:val="1"/>
      <w:numFmt w:val="bullet"/>
      <w:lvlText w:val=""/>
      <w:lvlJc w:val="left"/>
      <w:pPr>
        <w:ind w:left="4559" w:hanging="480"/>
      </w:pPr>
      <w:rPr>
        <w:rFonts w:ascii="Wingdings" w:hAnsi="Wingdings" w:hint="default"/>
      </w:rPr>
    </w:lvl>
    <w:lvl w:ilvl="7" w:tplc="04090003" w:tentative="1">
      <w:start w:val="1"/>
      <w:numFmt w:val="bullet"/>
      <w:lvlText w:val=""/>
      <w:lvlJc w:val="left"/>
      <w:pPr>
        <w:ind w:left="5039" w:hanging="480"/>
      </w:pPr>
      <w:rPr>
        <w:rFonts w:ascii="Wingdings" w:hAnsi="Wingdings" w:hint="default"/>
      </w:rPr>
    </w:lvl>
    <w:lvl w:ilvl="8" w:tplc="04090005" w:tentative="1">
      <w:start w:val="1"/>
      <w:numFmt w:val="bullet"/>
      <w:lvlText w:val=""/>
      <w:lvlJc w:val="left"/>
      <w:pPr>
        <w:ind w:left="5519" w:hanging="480"/>
      </w:pPr>
      <w:rPr>
        <w:rFonts w:ascii="Wingdings" w:hAnsi="Wingdings" w:hint="default"/>
      </w:rPr>
    </w:lvl>
  </w:abstractNum>
  <w:abstractNum w:abstractNumId="42">
    <w:nsid w:val="77386A1B"/>
    <w:multiLevelType w:val="hybridMultilevel"/>
    <w:tmpl w:val="AE1A8966"/>
    <w:lvl w:ilvl="0" w:tplc="04090001">
      <w:start w:val="1"/>
      <w:numFmt w:val="bullet"/>
      <w:lvlText w:val=""/>
      <w:lvlJc w:val="left"/>
      <w:pPr>
        <w:ind w:left="1395" w:hanging="480"/>
      </w:pPr>
      <w:rPr>
        <w:rFonts w:ascii="Wingdings" w:hAnsi="Wingdings" w:hint="default"/>
      </w:rPr>
    </w:lvl>
    <w:lvl w:ilvl="1" w:tplc="04090003" w:tentative="1">
      <w:start w:val="1"/>
      <w:numFmt w:val="bullet"/>
      <w:lvlText w:val=""/>
      <w:lvlJc w:val="left"/>
      <w:pPr>
        <w:ind w:left="1875" w:hanging="480"/>
      </w:pPr>
      <w:rPr>
        <w:rFonts w:ascii="Wingdings" w:hAnsi="Wingdings" w:hint="default"/>
      </w:rPr>
    </w:lvl>
    <w:lvl w:ilvl="2" w:tplc="04090005" w:tentative="1">
      <w:start w:val="1"/>
      <w:numFmt w:val="bullet"/>
      <w:lvlText w:val=""/>
      <w:lvlJc w:val="left"/>
      <w:pPr>
        <w:ind w:left="2355" w:hanging="480"/>
      </w:pPr>
      <w:rPr>
        <w:rFonts w:ascii="Wingdings" w:hAnsi="Wingdings" w:hint="default"/>
      </w:rPr>
    </w:lvl>
    <w:lvl w:ilvl="3" w:tplc="04090001" w:tentative="1">
      <w:start w:val="1"/>
      <w:numFmt w:val="bullet"/>
      <w:lvlText w:val=""/>
      <w:lvlJc w:val="left"/>
      <w:pPr>
        <w:ind w:left="2835" w:hanging="480"/>
      </w:pPr>
      <w:rPr>
        <w:rFonts w:ascii="Wingdings" w:hAnsi="Wingdings" w:hint="default"/>
      </w:rPr>
    </w:lvl>
    <w:lvl w:ilvl="4" w:tplc="04090003" w:tentative="1">
      <w:start w:val="1"/>
      <w:numFmt w:val="bullet"/>
      <w:lvlText w:val=""/>
      <w:lvlJc w:val="left"/>
      <w:pPr>
        <w:ind w:left="3315" w:hanging="480"/>
      </w:pPr>
      <w:rPr>
        <w:rFonts w:ascii="Wingdings" w:hAnsi="Wingdings" w:hint="default"/>
      </w:rPr>
    </w:lvl>
    <w:lvl w:ilvl="5" w:tplc="04090005" w:tentative="1">
      <w:start w:val="1"/>
      <w:numFmt w:val="bullet"/>
      <w:lvlText w:val=""/>
      <w:lvlJc w:val="left"/>
      <w:pPr>
        <w:ind w:left="3795" w:hanging="480"/>
      </w:pPr>
      <w:rPr>
        <w:rFonts w:ascii="Wingdings" w:hAnsi="Wingdings" w:hint="default"/>
      </w:rPr>
    </w:lvl>
    <w:lvl w:ilvl="6" w:tplc="04090001" w:tentative="1">
      <w:start w:val="1"/>
      <w:numFmt w:val="bullet"/>
      <w:lvlText w:val=""/>
      <w:lvlJc w:val="left"/>
      <w:pPr>
        <w:ind w:left="4275" w:hanging="480"/>
      </w:pPr>
      <w:rPr>
        <w:rFonts w:ascii="Wingdings" w:hAnsi="Wingdings" w:hint="default"/>
      </w:rPr>
    </w:lvl>
    <w:lvl w:ilvl="7" w:tplc="04090003" w:tentative="1">
      <w:start w:val="1"/>
      <w:numFmt w:val="bullet"/>
      <w:lvlText w:val=""/>
      <w:lvlJc w:val="left"/>
      <w:pPr>
        <w:ind w:left="4755" w:hanging="480"/>
      </w:pPr>
      <w:rPr>
        <w:rFonts w:ascii="Wingdings" w:hAnsi="Wingdings" w:hint="default"/>
      </w:rPr>
    </w:lvl>
    <w:lvl w:ilvl="8" w:tplc="04090005" w:tentative="1">
      <w:start w:val="1"/>
      <w:numFmt w:val="bullet"/>
      <w:lvlText w:val=""/>
      <w:lvlJc w:val="left"/>
      <w:pPr>
        <w:ind w:left="5235" w:hanging="480"/>
      </w:pPr>
      <w:rPr>
        <w:rFonts w:ascii="Wingdings" w:hAnsi="Wingdings" w:hint="default"/>
      </w:rPr>
    </w:lvl>
  </w:abstractNum>
  <w:abstractNum w:abstractNumId="43">
    <w:nsid w:val="78F92AAF"/>
    <w:multiLevelType w:val="multilevel"/>
    <w:tmpl w:val="7C88F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7B0A736D"/>
    <w:multiLevelType w:val="hybridMultilevel"/>
    <w:tmpl w:val="0054F232"/>
    <w:lvl w:ilvl="0" w:tplc="04090001">
      <w:start w:val="1"/>
      <w:numFmt w:val="bullet"/>
      <w:lvlText w:val=""/>
      <w:lvlJc w:val="left"/>
      <w:pPr>
        <w:ind w:left="1112" w:hanging="480"/>
      </w:pPr>
      <w:rPr>
        <w:rFonts w:ascii="Wingdings" w:hAnsi="Wingdings" w:hint="default"/>
      </w:rPr>
    </w:lvl>
    <w:lvl w:ilvl="1" w:tplc="04090003" w:tentative="1">
      <w:start w:val="1"/>
      <w:numFmt w:val="bullet"/>
      <w:lvlText w:val=""/>
      <w:lvlJc w:val="left"/>
      <w:pPr>
        <w:ind w:left="1592" w:hanging="480"/>
      </w:pPr>
      <w:rPr>
        <w:rFonts w:ascii="Wingdings" w:hAnsi="Wingdings" w:hint="default"/>
      </w:rPr>
    </w:lvl>
    <w:lvl w:ilvl="2" w:tplc="04090005" w:tentative="1">
      <w:start w:val="1"/>
      <w:numFmt w:val="bullet"/>
      <w:lvlText w:val=""/>
      <w:lvlJc w:val="left"/>
      <w:pPr>
        <w:ind w:left="2072" w:hanging="480"/>
      </w:pPr>
      <w:rPr>
        <w:rFonts w:ascii="Wingdings" w:hAnsi="Wingdings" w:hint="default"/>
      </w:rPr>
    </w:lvl>
    <w:lvl w:ilvl="3" w:tplc="04090001" w:tentative="1">
      <w:start w:val="1"/>
      <w:numFmt w:val="bullet"/>
      <w:lvlText w:val=""/>
      <w:lvlJc w:val="left"/>
      <w:pPr>
        <w:ind w:left="2552" w:hanging="480"/>
      </w:pPr>
      <w:rPr>
        <w:rFonts w:ascii="Wingdings" w:hAnsi="Wingdings" w:hint="default"/>
      </w:rPr>
    </w:lvl>
    <w:lvl w:ilvl="4" w:tplc="04090003" w:tentative="1">
      <w:start w:val="1"/>
      <w:numFmt w:val="bullet"/>
      <w:lvlText w:val=""/>
      <w:lvlJc w:val="left"/>
      <w:pPr>
        <w:ind w:left="3032" w:hanging="480"/>
      </w:pPr>
      <w:rPr>
        <w:rFonts w:ascii="Wingdings" w:hAnsi="Wingdings" w:hint="default"/>
      </w:rPr>
    </w:lvl>
    <w:lvl w:ilvl="5" w:tplc="04090005" w:tentative="1">
      <w:start w:val="1"/>
      <w:numFmt w:val="bullet"/>
      <w:lvlText w:val=""/>
      <w:lvlJc w:val="left"/>
      <w:pPr>
        <w:ind w:left="3512" w:hanging="480"/>
      </w:pPr>
      <w:rPr>
        <w:rFonts w:ascii="Wingdings" w:hAnsi="Wingdings" w:hint="default"/>
      </w:rPr>
    </w:lvl>
    <w:lvl w:ilvl="6" w:tplc="04090001" w:tentative="1">
      <w:start w:val="1"/>
      <w:numFmt w:val="bullet"/>
      <w:lvlText w:val=""/>
      <w:lvlJc w:val="left"/>
      <w:pPr>
        <w:ind w:left="3992" w:hanging="480"/>
      </w:pPr>
      <w:rPr>
        <w:rFonts w:ascii="Wingdings" w:hAnsi="Wingdings" w:hint="default"/>
      </w:rPr>
    </w:lvl>
    <w:lvl w:ilvl="7" w:tplc="04090003" w:tentative="1">
      <w:start w:val="1"/>
      <w:numFmt w:val="bullet"/>
      <w:lvlText w:val=""/>
      <w:lvlJc w:val="left"/>
      <w:pPr>
        <w:ind w:left="4472" w:hanging="480"/>
      </w:pPr>
      <w:rPr>
        <w:rFonts w:ascii="Wingdings" w:hAnsi="Wingdings" w:hint="default"/>
      </w:rPr>
    </w:lvl>
    <w:lvl w:ilvl="8" w:tplc="04090005" w:tentative="1">
      <w:start w:val="1"/>
      <w:numFmt w:val="bullet"/>
      <w:lvlText w:val=""/>
      <w:lvlJc w:val="left"/>
      <w:pPr>
        <w:ind w:left="4952" w:hanging="480"/>
      </w:pPr>
      <w:rPr>
        <w:rFonts w:ascii="Wingdings" w:hAnsi="Wingdings" w:hint="default"/>
      </w:rPr>
    </w:lvl>
  </w:abstractNum>
  <w:num w:numId="1">
    <w:abstractNumId w:val="19"/>
  </w:num>
  <w:num w:numId="2">
    <w:abstractNumId w:val="18"/>
  </w:num>
  <w:num w:numId="3">
    <w:abstractNumId w:val="34"/>
  </w:num>
  <w:num w:numId="4">
    <w:abstractNumId w:val="6"/>
  </w:num>
  <w:num w:numId="5">
    <w:abstractNumId w:val="9"/>
  </w:num>
  <w:num w:numId="6">
    <w:abstractNumId w:val="7"/>
  </w:num>
  <w:num w:numId="7">
    <w:abstractNumId w:val="8"/>
  </w:num>
  <w:num w:numId="8">
    <w:abstractNumId w:val="40"/>
  </w:num>
  <w:num w:numId="9">
    <w:abstractNumId w:val="17"/>
  </w:num>
  <w:num w:numId="10">
    <w:abstractNumId w:val="10"/>
  </w:num>
  <w:num w:numId="11">
    <w:abstractNumId w:val="1"/>
  </w:num>
  <w:num w:numId="12">
    <w:abstractNumId w:val="37"/>
  </w:num>
  <w:num w:numId="13">
    <w:abstractNumId w:val="29"/>
  </w:num>
  <w:num w:numId="14">
    <w:abstractNumId w:val="35"/>
  </w:num>
  <w:num w:numId="15">
    <w:abstractNumId w:val="39"/>
  </w:num>
  <w:num w:numId="16">
    <w:abstractNumId w:val="21"/>
  </w:num>
  <w:num w:numId="17">
    <w:abstractNumId w:val="43"/>
  </w:num>
  <w:num w:numId="18">
    <w:abstractNumId w:val="36"/>
  </w:num>
  <w:num w:numId="19">
    <w:abstractNumId w:val="5"/>
  </w:num>
  <w:num w:numId="20">
    <w:abstractNumId w:val="33"/>
  </w:num>
  <w:num w:numId="21">
    <w:abstractNumId w:val="14"/>
  </w:num>
  <w:num w:numId="22">
    <w:abstractNumId w:val="42"/>
  </w:num>
  <w:num w:numId="23">
    <w:abstractNumId w:val="13"/>
  </w:num>
  <w:num w:numId="24">
    <w:abstractNumId w:val="32"/>
  </w:num>
  <w:num w:numId="25">
    <w:abstractNumId w:val="31"/>
  </w:num>
  <w:num w:numId="26">
    <w:abstractNumId w:val="22"/>
  </w:num>
  <w:num w:numId="27">
    <w:abstractNumId w:val="3"/>
  </w:num>
  <w:num w:numId="28">
    <w:abstractNumId w:val="25"/>
  </w:num>
  <w:num w:numId="29">
    <w:abstractNumId w:val="44"/>
  </w:num>
  <w:num w:numId="30">
    <w:abstractNumId w:val="12"/>
  </w:num>
  <w:num w:numId="31">
    <w:abstractNumId w:val="4"/>
  </w:num>
  <w:num w:numId="32">
    <w:abstractNumId w:val="28"/>
  </w:num>
  <w:num w:numId="33">
    <w:abstractNumId w:val="24"/>
  </w:num>
  <w:num w:numId="34">
    <w:abstractNumId w:val="41"/>
  </w:num>
  <w:num w:numId="35">
    <w:abstractNumId w:val="23"/>
  </w:num>
  <w:num w:numId="36">
    <w:abstractNumId w:val="0"/>
  </w:num>
  <w:num w:numId="37">
    <w:abstractNumId w:val="15"/>
  </w:num>
  <w:num w:numId="38">
    <w:abstractNumId w:val="27"/>
  </w:num>
  <w:num w:numId="39">
    <w:abstractNumId w:val="26"/>
  </w:num>
  <w:num w:numId="40">
    <w:abstractNumId w:val="20"/>
  </w:num>
  <w:num w:numId="41">
    <w:abstractNumId w:val="38"/>
  </w:num>
  <w:num w:numId="42">
    <w:abstractNumId w:val="30"/>
  </w:num>
  <w:num w:numId="43">
    <w:abstractNumId w:val="2"/>
  </w:num>
  <w:num w:numId="44">
    <w:abstractNumId w:val="11"/>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
  <w:rsids>
    <w:rsidRoot w:val="00912331"/>
    <w:rsid w:val="000719D2"/>
    <w:rsid w:val="00530D21"/>
    <w:rsid w:val="007554F9"/>
    <w:rsid w:val="00806C78"/>
    <w:rsid w:val="00900F71"/>
    <w:rsid w:val="00912331"/>
    <w:rsid w:val="00DE58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paragraph" w:styleId="af2">
    <w:name w:val="Balloon Text"/>
    <w:basedOn w:val="a"/>
    <w:link w:val="af3"/>
    <w:uiPriority w:val="99"/>
    <w:semiHidden/>
    <w:unhideWhenUsed/>
    <w:rsid w:val="00900F71"/>
    <w:pPr>
      <w:spacing w:line="240" w:lineRule="auto"/>
    </w:pPr>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900F71"/>
    <w:rPr>
      <w:rFonts w:asciiTheme="majorHAnsi" w:eastAsiaTheme="majorEastAsia" w:hAnsiTheme="majorHAnsi" w:cstheme="majorBidi"/>
      <w:sz w:val="18"/>
      <w:szCs w:val="18"/>
    </w:rPr>
  </w:style>
  <w:style w:type="paragraph" w:styleId="af4">
    <w:name w:val="List Paragraph"/>
    <w:basedOn w:val="a"/>
    <w:uiPriority w:val="34"/>
    <w:qFormat/>
    <w:rsid w:val="00900F7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paragraph" w:styleId="af2">
    <w:name w:val="Balloon Text"/>
    <w:basedOn w:val="a"/>
    <w:link w:val="af3"/>
    <w:uiPriority w:val="99"/>
    <w:semiHidden/>
    <w:unhideWhenUsed/>
    <w:rsid w:val="00900F71"/>
    <w:pPr>
      <w:spacing w:line="240" w:lineRule="auto"/>
    </w:pPr>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900F71"/>
    <w:rPr>
      <w:rFonts w:asciiTheme="majorHAnsi" w:eastAsiaTheme="majorEastAsia" w:hAnsiTheme="majorHAnsi" w:cstheme="majorBidi"/>
      <w:sz w:val="18"/>
      <w:szCs w:val="18"/>
    </w:rPr>
  </w:style>
  <w:style w:type="paragraph" w:styleId="af4">
    <w:name w:val="List Paragraph"/>
    <w:basedOn w:val="a"/>
    <w:uiPriority w:val="34"/>
    <w:qFormat/>
    <w:rsid w:val="00900F7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CA05B-ADF1-4C1C-A520-AB6A6CB0E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27</Pages>
  <Words>3111</Words>
  <Characters>17739</Characters>
  <Application>Microsoft Office Word</Application>
  <DocSecurity>0</DocSecurity>
  <Lines>147</Lines>
  <Paragraphs>41</Paragraphs>
  <ScaleCrop>false</ScaleCrop>
  <Company/>
  <LinksUpToDate>false</LinksUpToDate>
  <CharactersWithSpaces>20809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鄭郁玄</cp:lastModifiedBy>
  <cp:revision>4</cp:revision>
  <dcterms:created xsi:type="dcterms:W3CDTF">2026-05-22T13:21:00Z</dcterms:created>
  <dcterms:modified xsi:type="dcterms:W3CDTF">2026-05-22T14:07:00Z</dcterms:modified>
</cp:coreProperties>
</file>