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F9" w:rsidRPr="00C440F9" w:rsidRDefault="00C440F9" w:rsidP="00C440F9">
      <w:pPr>
        <w:jc w:val="center"/>
        <w:rPr>
          <w:u w:val="single"/>
        </w:rPr>
      </w:pPr>
      <w:r w:rsidRPr="00C440F9">
        <w:rPr>
          <w:u w:val="single"/>
        </w:rPr>
        <w:t xml:space="preserve">PCM Module </w:t>
      </w:r>
      <w:proofErr w:type="spellStart"/>
      <w:r w:rsidRPr="00C440F9">
        <w:rPr>
          <w:u w:val="single"/>
        </w:rPr>
        <w:t>Thermophysical</w:t>
      </w:r>
      <w:proofErr w:type="spellEnd"/>
      <w:r w:rsidRPr="00C440F9">
        <w:rPr>
          <w:u w:val="single"/>
        </w:rPr>
        <w:t xml:space="preserve"> Properties</w:t>
      </w:r>
    </w:p>
    <w:p w:rsidR="00E76342" w:rsidRDefault="00C440F9" w:rsidP="00C440F9">
      <w:pPr>
        <w:jc w:val="center"/>
      </w:pPr>
      <w:r>
        <w:rPr>
          <w:noProof/>
        </w:rPr>
        <w:drawing>
          <wp:inline distT="0" distB="0" distL="0" distR="0" wp14:anchorId="5BB5928C" wp14:editId="7401A235">
            <wp:extent cx="15906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F9" w:rsidRDefault="00C440F9" w:rsidP="00C440F9">
      <w:r>
        <w:t xml:space="preserve">The Simulink ‘PCM Heat Sink’ block calculates the temperature dynamics of a rectangular PCM heat sink. To do so, it needs the following phase change material properties: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  <w:gridCol w:w="1260"/>
      </w:tblGrid>
      <w:tr w:rsidR="00C440F9" w:rsidRPr="00C440F9" w:rsidTr="00C440F9">
        <w:trPr>
          <w:trHeight w:val="548"/>
          <w:jc w:val="center"/>
        </w:trPr>
        <w:tc>
          <w:tcPr>
            <w:tcW w:w="4945" w:type="dxa"/>
            <w:noWrap/>
            <w:hideMark/>
          </w:tcPr>
          <w:p w:rsidR="00C440F9" w:rsidRPr="00C440F9" w:rsidRDefault="00C440F9" w:rsidP="00C440F9">
            <w:pPr>
              <w:jc w:val="center"/>
            </w:pPr>
            <w:r w:rsidRPr="00C440F9">
              <w:t>Property</w:t>
            </w:r>
          </w:p>
        </w:tc>
        <w:tc>
          <w:tcPr>
            <w:tcW w:w="1260" w:type="dxa"/>
            <w:noWrap/>
            <w:hideMark/>
          </w:tcPr>
          <w:p w:rsidR="00C440F9" w:rsidRPr="00C440F9" w:rsidRDefault="00C440F9">
            <w:r w:rsidRPr="00C440F9">
              <w:t>Symbol</w:t>
            </w:r>
          </w:p>
        </w:tc>
      </w:tr>
      <w:tr w:rsidR="00C440F9" w:rsidRPr="00C440F9" w:rsidTr="00C440F9">
        <w:trPr>
          <w:trHeight w:val="300"/>
          <w:jc w:val="center"/>
        </w:trPr>
        <w:tc>
          <w:tcPr>
            <w:tcW w:w="4945" w:type="dxa"/>
            <w:noWrap/>
            <w:hideMark/>
          </w:tcPr>
          <w:p w:rsidR="00C440F9" w:rsidRPr="00C440F9" w:rsidRDefault="00C440F9">
            <w:r>
              <w:t xml:space="preserve">Thermal </w:t>
            </w:r>
            <w:r w:rsidRPr="00C440F9">
              <w:t>Conductivity</w:t>
            </w:r>
          </w:p>
        </w:tc>
        <w:tc>
          <w:tcPr>
            <w:tcW w:w="1260" w:type="dxa"/>
            <w:noWrap/>
            <w:hideMark/>
          </w:tcPr>
          <w:p w:rsidR="00C440F9" w:rsidRPr="00C440F9" w:rsidRDefault="00C440F9">
            <w:pPr>
              <w:rPr>
                <w:b/>
                <w:bCs/>
              </w:rPr>
            </w:pPr>
            <w:r w:rsidRPr="00C440F9">
              <w:rPr>
                <w:b/>
                <w:bCs/>
              </w:rPr>
              <w:t>K</w:t>
            </w:r>
          </w:p>
        </w:tc>
      </w:tr>
      <w:tr w:rsidR="00C440F9" w:rsidRPr="00C440F9" w:rsidTr="00C440F9">
        <w:trPr>
          <w:trHeight w:val="300"/>
          <w:jc w:val="center"/>
        </w:trPr>
        <w:tc>
          <w:tcPr>
            <w:tcW w:w="4945" w:type="dxa"/>
            <w:noWrap/>
            <w:hideMark/>
          </w:tcPr>
          <w:p w:rsidR="00C440F9" w:rsidRPr="00C440F9" w:rsidRDefault="00C440F9">
            <w:r>
              <w:t xml:space="preserve">Melt </w:t>
            </w:r>
            <w:r w:rsidRPr="00C440F9">
              <w:t>temperature</w:t>
            </w:r>
          </w:p>
        </w:tc>
        <w:tc>
          <w:tcPr>
            <w:tcW w:w="1260" w:type="dxa"/>
            <w:noWrap/>
            <w:hideMark/>
          </w:tcPr>
          <w:p w:rsidR="00C440F9" w:rsidRPr="00C440F9" w:rsidRDefault="00C440F9">
            <w:pPr>
              <w:rPr>
                <w:b/>
                <w:bCs/>
              </w:rPr>
            </w:pPr>
            <w:proofErr w:type="spellStart"/>
            <w:r w:rsidRPr="00C440F9">
              <w:rPr>
                <w:b/>
                <w:bCs/>
              </w:rPr>
              <w:t>T_melt</w:t>
            </w:r>
            <w:proofErr w:type="spellEnd"/>
          </w:p>
        </w:tc>
      </w:tr>
      <w:tr w:rsidR="00C440F9" w:rsidRPr="00C440F9" w:rsidTr="00C440F9">
        <w:trPr>
          <w:trHeight w:val="300"/>
          <w:jc w:val="center"/>
        </w:trPr>
        <w:tc>
          <w:tcPr>
            <w:tcW w:w="4945" w:type="dxa"/>
            <w:noWrap/>
            <w:hideMark/>
          </w:tcPr>
          <w:p w:rsidR="00C440F9" w:rsidRPr="00C440F9" w:rsidRDefault="00C440F9">
            <w:r>
              <w:t xml:space="preserve">Latent </w:t>
            </w:r>
            <w:r w:rsidRPr="00C440F9">
              <w:t>heat</w:t>
            </w:r>
          </w:p>
        </w:tc>
        <w:tc>
          <w:tcPr>
            <w:tcW w:w="1260" w:type="dxa"/>
            <w:noWrap/>
            <w:hideMark/>
          </w:tcPr>
          <w:p w:rsidR="00C440F9" w:rsidRPr="00C440F9" w:rsidRDefault="00C440F9">
            <w:pPr>
              <w:rPr>
                <w:b/>
                <w:bCs/>
              </w:rPr>
            </w:pPr>
            <w:r w:rsidRPr="00C440F9">
              <w:rPr>
                <w:b/>
                <w:bCs/>
              </w:rPr>
              <w:t>L</w:t>
            </w:r>
          </w:p>
        </w:tc>
      </w:tr>
      <w:tr w:rsidR="00C440F9" w:rsidRPr="00C440F9" w:rsidTr="00C440F9">
        <w:trPr>
          <w:trHeight w:val="300"/>
          <w:jc w:val="center"/>
        </w:trPr>
        <w:tc>
          <w:tcPr>
            <w:tcW w:w="4945" w:type="dxa"/>
            <w:noWrap/>
            <w:hideMark/>
          </w:tcPr>
          <w:p w:rsidR="00C440F9" w:rsidRPr="00C440F9" w:rsidRDefault="00C440F9">
            <w:r w:rsidRPr="00C440F9">
              <w:t>Density</w:t>
            </w:r>
          </w:p>
        </w:tc>
        <w:tc>
          <w:tcPr>
            <w:tcW w:w="1260" w:type="dxa"/>
            <w:noWrap/>
            <w:hideMark/>
          </w:tcPr>
          <w:p w:rsidR="00C440F9" w:rsidRPr="00C440F9" w:rsidRDefault="00C440F9">
            <w:pPr>
              <w:rPr>
                <w:b/>
                <w:bCs/>
              </w:rPr>
            </w:pPr>
            <w:r w:rsidRPr="00C440F9">
              <w:rPr>
                <w:b/>
                <w:bCs/>
              </w:rPr>
              <w:t>ρ</w:t>
            </w:r>
          </w:p>
        </w:tc>
      </w:tr>
      <w:tr w:rsidR="00C440F9" w:rsidRPr="00C440F9" w:rsidTr="00C440F9">
        <w:trPr>
          <w:trHeight w:val="300"/>
          <w:jc w:val="center"/>
        </w:trPr>
        <w:tc>
          <w:tcPr>
            <w:tcW w:w="4945" w:type="dxa"/>
            <w:noWrap/>
            <w:hideMark/>
          </w:tcPr>
          <w:p w:rsidR="00C440F9" w:rsidRPr="00C440F9" w:rsidRDefault="00C440F9">
            <w:r>
              <w:t xml:space="preserve">Specific </w:t>
            </w:r>
            <w:r w:rsidRPr="00C440F9">
              <w:t>Heat</w:t>
            </w:r>
          </w:p>
        </w:tc>
        <w:tc>
          <w:tcPr>
            <w:tcW w:w="1260" w:type="dxa"/>
            <w:noWrap/>
            <w:hideMark/>
          </w:tcPr>
          <w:p w:rsidR="00C440F9" w:rsidRPr="00C440F9" w:rsidRDefault="00C440F9">
            <w:pPr>
              <w:rPr>
                <w:b/>
                <w:bCs/>
              </w:rPr>
            </w:pPr>
            <w:proofErr w:type="spellStart"/>
            <w:r w:rsidRPr="00C440F9">
              <w:rPr>
                <w:b/>
                <w:bCs/>
              </w:rPr>
              <w:t>Cp</w:t>
            </w:r>
            <w:proofErr w:type="spellEnd"/>
          </w:p>
        </w:tc>
      </w:tr>
      <w:tr w:rsidR="00C440F9" w:rsidRPr="00C440F9" w:rsidTr="00C440F9">
        <w:trPr>
          <w:trHeight w:val="600"/>
          <w:jc w:val="center"/>
        </w:trPr>
        <w:tc>
          <w:tcPr>
            <w:tcW w:w="4945" w:type="dxa"/>
            <w:hideMark/>
          </w:tcPr>
          <w:p w:rsidR="00C440F9" w:rsidRPr="00C440F9" w:rsidRDefault="00C440F9">
            <w:r>
              <w:t>Volumetric Thermal Expansion C</w:t>
            </w:r>
            <w:r w:rsidRPr="00C440F9">
              <w:t>oefficient</w:t>
            </w:r>
          </w:p>
        </w:tc>
        <w:tc>
          <w:tcPr>
            <w:tcW w:w="1260" w:type="dxa"/>
            <w:noWrap/>
            <w:hideMark/>
          </w:tcPr>
          <w:p w:rsidR="00C440F9" w:rsidRPr="00C440F9" w:rsidRDefault="00C440F9">
            <w:pPr>
              <w:rPr>
                <w:b/>
                <w:bCs/>
              </w:rPr>
            </w:pPr>
            <w:r w:rsidRPr="00C440F9">
              <w:rPr>
                <w:b/>
                <w:bCs/>
              </w:rPr>
              <w:t>β</w:t>
            </w:r>
          </w:p>
        </w:tc>
      </w:tr>
      <w:tr w:rsidR="00C440F9" w:rsidRPr="00C440F9" w:rsidTr="00C440F9">
        <w:trPr>
          <w:trHeight w:val="300"/>
          <w:jc w:val="center"/>
        </w:trPr>
        <w:tc>
          <w:tcPr>
            <w:tcW w:w="4945" w:type="dxa"/>
            <w:noWrap/>
            <w:hideMark/>
          </w:tcPr>
          <w:p w:rsidR="00C440F9" w:rsidRPr="00C440F9" w:rsidRDefault="00C440F9">
            <w:r>
              <w:t xml:space="preserve">Kinematic </w:t>
            </w:r>
            <w:r w:rsidRPr="00C440F9">
              <w:t>Viscosity</w:t>
            </w:r>
          </w:p>
        </w:tc>
        <w:tc>
          <w:tcPr>
            <w:tcW w:w="1260" w:type="dxa"/>
            <w:noWrap/>
            <w:hideMark/>
          </w:tcPr>
          <w:p w:rsidR="00C440F9" w:rsidRPr="00C440F9" w:rsidRDefault="00C440F9">
            <w:pPr>
              <w:rPr>
                <w:b/>
                <w:bCs/>
              </w:rPr>
            </w:pPr>
            <w:r w:rsidRPr="00C440F9">
              <w:rPr>
                <w:b/>
                <w:bCs/>
              </w:rPr>
              <w:t>ν</w:t>
            </w:r>
          </w:p>
        </w:tc>
      </w:tr>
    </w:tbl>
    <w:p w:rsidR="00C440F9" w:rsidRDefault="00C440F9" w:rsidP="00C440F9"/>
    <w:p w:rsidR="002538F0" w:rsidRDefault="00C440F9" w:rsidP="00C440F9">
      <w:r>
        <w:t>These properties have been found and recorded for three different PCMs: generic paraffin wax, n-</w:t>
      </w:r>
      <w:proofErr w:type="spellStart"/>
      <w:r>
        <w:t>eicosane</w:t>
      </w:r>
      <w:proofErr w:type="spellEnd"/>
      <w:r>
        <w:t>, and RT28HC.</w:t>
      </w:r>
      <w:r w:rsidR="002538F0">
        <w:t xml:space="preserve"> These properties can be found in the Excel spreadsheet named “PCM </w:t>
      </w:r>
      <w:proofErr w:type="spellStart"/>
      <w:r w:rsidR="002538F0">
        <w:t>Thermophysical</w:t>
      </w:r>
      <w:proofErr w:type="spellEnd"/>
      <w:r w:rsidR="002538F0">
        <w:t xml:space="preserve"> Properties.xlsx”, with references (some properties are approximated).</w:t>
      </w:r>
    </w:p>
    <w:p w:rsidR="00C440F9" w:rsidRDefault="00C440F9" w:rsidP="002538F0">
      <w:pPr>
        <w:pStyle w:val="ListParagraph"/>
        <w:numPr>
          <w:ilvl w:val="0"/>
          <w:numId w:val="1"/>
        </w:numPr>
      </w:pPr>
      <w:r>
        <w:t xml:space="preserve">RT28HC is a paraffin wax made by </w:t>
      </w:r>
      <w:proofErr w:type="spellStart"/>
      <w:r>
        <w:t>Rubitherm</w:t>
      </w:r>
      <w:proofErr w:type="spellEnd"/>
      <w:r>
        <w:t xml:space="preserve">. This manufacturer produces </w:t>
      </w:r>
      <w:hyperlink r:id="rId6" w:history="1">
        <w:r w:rsidRPr="00C440F9">
          <w:rPr>
            <w:rStyle w:val="Hyperlink"/>
          </w:rPr>
          <w:t>several different paraffin waxes</w:t>
        </w:r>
      </w:hyperlink>
      <w:r>
        <w:t xml:space="preserve"> with similar </w:t>
      </w:r>
      <w:proofErr w:type="spellStart"/>
      <w:r>
        <w:t>thermophysical</w:t>
      </w:r>
      <w:proofErr w:type="spellEnd"/>
      <w:r>
        <w:t xml:space="preserve"> properties but different melting temperatures. </w:t>
      </w:r>
      <w:r w:rsidR="002538F0">
        <w:t xml:space="preserve">Modeling these </w:t>
      </w:r>
      <w:proofErr w:type="spellStart"/>
      <w:r w:rsidR="002538F0">
        <w:t>Rubitherm</w:t>
      </w:r>
      <w:proofErr w:type="spellEnd"/>
      <w:r w:rsidR="002538F0">
        <w:t xml:space="preserve"> paraffin waxes can thus be achieved by selecting RT28HC as the phase change material and then hard coding the melting temperature to whichever value is desired.  </w:t>
      </w:r>
    </w:p>
    <w:p w:rsidR="002538F0" w:rsidRDefault="002538F0" w:rsidP="002538F0">
      <w:r>
        <w:t>The ‘</w:t>
      </w:r>
      <w:proofErr w:type="spellStart"/>
      <w:r>
        <w:t>Convert_PCM_Props.m</w:t>
      </w:r>
      <w:proofErr w:type="spellEnd"/>
      <w:r>
        <w:t>’ script reads this spreadsheet and saves the property data into the ‘</w:t>
      </w:r>
      <w:proofErr w:type="spellStart"/>
      <w:r>
        <w:t>PCMProps.mat</w:t>
      </w:r>
      <w:proofErr w:type="spellEnd"/>
      <w:r>
        <w:t xml:space="preserve">’ structure. This structure is then used by the Simulink block for simulations. </w:t>
      </w:r>
    </w:p>
    <w:p w:rsidR="002538F0" w:rsidRDefault="002538F0" w:rsidP="002538F0">
      <w:pPr>
        <w:pStyle w:val="ListParagraph"/>
        <w:numPr>
          <w:ilvl w:val="0"/>
          <w:numId w:val="1"/>
        </w:numPr>
      </w:pPr>
      <w:r>
        <w:t>To add properties for another material into ‘</w:t>
      </w:r>
      <w:proofErr w:type="spellStart"/>
      <w:r>
        <w:t>PCMProps.mat</w:t>
      </w:r>
      <w:proofErr w:type="spellEnd"/>
      <w:r>
        <w:t>’:</w:t>
      </w:r>
    </w:p>
    <w:p w:rsidR="006F605D" w:rsidRDefault="006F605D" w:rsidP="006F605D">
      <w:pPr>
        <w:pStyle w:val="ListParagraph"/>
        <w:numPr>
          <w:ilvl w:val="1"/>
          <w:numId w:val="1"/>
        </w:numPr>
      </w:pPr>
      <w:r>
        <w:t xml:space="preserve">First add the properties into </w:t>
      </w:r>
      <w:r>
        <w:t xml:space="preserve">“PCM </w:t>
      </w:r>
      <w:proofErr w:type="spellStart"/>
      <w:r>
        <w:t>Thermophysical</w:t>
      </w:r>
      <w:proofErr w:type="spellEnd"/>
      <w:r>
        <w:t xml:space="preserve"> Properties.xlsx”</w:t>
      </w:r>
      <w:r>
        <w:t xml:space="preserve"> in a new column. In row 2, input a name for the material that is a valid MATLAB variable name.</w:t>
      </w:r>
      <w:r w:rsidR="00982D71">
        <w:t xml:space="preserve"> Save the spreadsheet.</w:t>
      </w:r>
      <w:bookmarkStart w:id="0" w:name="_GoBack"/>
      <w:bookmarkEnd w:id="0"/>
    </w:p>
    <w:p w:rsidR="00AF7E78" w:rsidRDefault="00AF7E78" w:rsidP="006F605D">
      <w:pPr>
        <w:pStyle w:val="ListParagraph"/>
        <w:numPr>
          <w:ilvl w:val="1"/>
          <w:numId w:val="1"/>
        </w:numPr>
      </w:pPr>
      <w:r>
        <w:t>Then run ‘</w:t>
      </w:r>
      <w:proofErr w:type="spellStart"/>
      <w:r>
        <w:t>Convert_PCM_Props.m</w:t>
      </w:r>
      <w:proofErr w:type="spellEnd"/>
      <w:r>
        <w:t>’. Uncomment line 25.</w:t>
      </w:r>
    </w:p>
    <w:p w:rsidR="00AF7E78" w:rsidRDefault="00031700" w:rsidP="006F605D">
      <w:pPr>
        <w:pStyle w:val="ListParagraph"/>
        <w:numPr>
          <w:ilvl w:val="1"/>
          <w:numId w:val="1"/>
        </w:numPr>
      </w:pPr>
      <w:r>
        <w:t>Read the commented instructions at the end of ‘</w:t>
      </w:r>
      <w:proofErr w:type="spellStart"/>
      <w:r>
        <w:t>Convert_PCM_Props.m</w:t>
      </w:r>
      <w:proofErr w:type="spellEnd"/>
      <w:r>
        <w:t xml:space="preserve">’ to update the Simulink block. </w:t>
      </w:r>
    </w:p>
    <w:sectPr w:rsidR="00AF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3739"/>
    <w:multiLevelType w:val="hybridMultilevel"/>
    <w:tmpl w:val="054A496A"/>
    <w:lvl w:ilvl="0" w:tplc="96B4EEB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C9"/>
    <w:rsid w:val="00031700"/>
    <w:rsid w:val="002538F0"/>
    <w:rsid w:val="002A34C9"/>
    <w:rsid w:val="003E6C97"/>
    <w:rsid w:val="006F605D"/>
    <w:rsid w:val="006F6BCC"/>
    <w:rsid w:val="0086394C"/>
    <w:rsid w:val="008A4BB7"/>
    <w:rsid w:val="00982D71"/>
    <w:rsid w:val="00AF7E78"/>
    <w:rsid w:val="00C440F9"/>
    <w:rsid w:val="00E7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D259"/>
  <w15:chartTrackingRefBased/>
  <w15:docId w15:val="{E94B0AD4-A36F-4632-9CCD-D3B1058B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40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bitherm.eu/en/index.php/productcategory/organische-pcm-r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Laird, Cary Elizabeth</dc:creator>
  <cp:keywords/>
  <dc:description/>
  <cp:lastModifiedBy>Laird, Cary Elizabeth</cp:lastModifiedBy>
  <cp:revision>3</cp:revision>
  <dcterms:created xsi:type="dcterms:W3CDTF">2019-04-11T19:47:00Z</dcterms:created>
  <dcterms:modified xsi:type="dcterms:W3CDTF">2019-04-12T15:21:00Z</dcterms:modified>
</cp:coreProperties>
</file>