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9412"/>
      </w:tblGrid>
      <w:tr>
        <w:trPr>
          <w:trHeight w:val="14288" w:hRule="atLeast"/>
        </w:trPr>
        <w:tc>
          <w:tcPr>
            <w:tcW w:type="dxa" w:w="9412"/>
            <w:shd w:val="clear" w:color="auto" w:fill="0D1420"/>
            <w:tcBorders>
              <w:top w:val="none" w:sz="4" w:space="0" w:color="auto"/>
              <w:bottom w:val="none" w:sz="4" w:space="0" w:color="auto"/>
              <w:left w:val="none" w:sz="4" w:space="0" w:color="auto"/>
              <w:right w:val="none" w:sz="4" w:space="0" w:color="auto"/>
            </w:tcBorders>
          </w:tcPr>
          <w:p>
            <w:pPr>
              <w:spacing w:before="160"/>
              <w:jc w:val="center"/>
            </w:pPr>
            <w:r>
              <w:drawing>
                <wp:inline xmlns:a="http://schemas.openxmlformats.org/drawingml/2006/main" xmlns:pic="http://schemas.openxmlformats.org/drawingml/2006/picture">
                  <wp:extent cx="3647298" cy="2736000"/>
                  <wp:docPr id="1" name="Picture 1"/>
                  <wp:cNvGraphicFramePr>
                    <a:graphicFrameLocks noChangeAspect="1"/>
                  </wp:cNvGraphicFramePr>
                  <a:graphic>
                    <a:graphicData uri="http://schemas.openxmlformats.org/drawingml/2006/picture">
                      <pic:pic>
                        <pic:nvPicPr>
                          <pic:cNvPr id="0" name="new-perth-skyline-kings-park-swan-river.jpg"/>
                          <pic:cNvPicPr/>
                        </pic:nvPicPr>
                        <pic:blipFill>
                          <a:blip r:embed="rId11"/>
                          <a:stretch>
                            <a:fillRect/>
                          </a:stretch>
                        </pic:blipFill>
                        <pic:spPr>
                          <a:xfrm>
                            <a:off x="0" y="0"/>
                            <a:ext cx="3647298" cy="2736000"/>
                          </a:xfrm>
                          <a:prstGeom prst="rect"/>
                        </pic:spPr>
                      </pic:pic>
                    </a:graphicData>
                  </a:graphic>
                </wp:inline>
              </w:drawing>
            </w:r>
          </w:p>
          <w:p>
            <w:pPr>
              <w:spacing w:before="280" w:after="160"/>
              <w:jc w:val="center"/>
            </w:pPr>
            <w:r>
              <w:rPr>
                <w:rFonts w:ascii="Arial" w:hAnsi="Arial"/>
                <w:b/>
                <w:i w:val="0"/>
                <w:color w:val="C9A227"/>
                <w:sz w:val="18"/>
                <w:spacing w:val="30"/>
              </w:rPr>
              <w:t>PROPERTY MARKET RESEARCH  ·  PREPARED BY AFIRMICO FINANCE</w:t>
            </w:r>
          </w:p>
          <w:p>
            <w:pPr>
              <w:spacing w:after="120"/>
              <w:jc w:val="center"/>
            </w:pPr>
            <w:r>
              <w:rPr>
                <w:rFonts w:ascii="Georgia" w:hAnsi="Georgia"/>
                <w:b/>
                <w:i w:val="0"/>
                <w:color w:val="FFFFFF"/>
                <w:sz w:val="52"/>
              </w:rPr>
              <w:t>Australian Property Market Research Report</w:t>
            </w:r>
          </w:p>
          <w:p>
            <w:pPr>
              <w:spacing w:after="240"/>
              <w:jc w:val="center"/>
            </w:pPr>
            <w:r>
              <w:rPr>
                <w:rFonts w:ascii="Georgia" w:hAnsi="Georgia"/>
                <w:b/>
                <w:i/>
                <w:color w:val="E8C36A"/>
                <w:sz w:val="40"/>
              </w:rPr>
              <w:t>— Singaporean Perspective —</w:t>
            </w:r>
          </w:p>
          <w:p>
            <w:pPr>
              <w:spacing w:after="280"/>
              <w:jc w:val="center"/>
            </w:pPr>
            <w:r>
              <w:rPr>
                <w:rFonts w:ascii="Arial" w:hAnsi="Arial"/>
                <w:b w:val="0"/>
                <w:i w:val="0"/>
                <w:color w:val="D7DEE9"/>
                <w:sz w:val="23"/>
              </w:rPr>
              <w:t>A factual, data-driven comparison of Australia's state-level environment for foreign purchasers of new residential property — with a focus on the Australian Capital Territory and Western Australia.</w:t>
            </w:r>
          </w:p>
          <w:p>
            <w:pPr>
              <w:spacing w:after="80"/>
              <w:jc w:val="center"/>
            </w:pPr>
            <w:r>
              <w:rPr>
                <w:rFonts w:ascii="Arial" w:hAnsi="Arial"/>
                <w:b w:val="0"/>
                <w:i w:val="0"/>
                <w:color w:val="B9C3D2"/>
                <w:sz w:val="17"/>
                <w:spacing w:val="18"/>
              </w:rPr>
              <w:t xml:space="preserve">REPORT DATE:  </w:t>
            </w:r>
            <w:r>
              <w:rPr>
                <w:rFonts w:ascii="Arial" w:hAnsi="Arial"/>
                <w:b/>
                <w:i w:val="0"/>
                <w:color w:val="FFFFFF"/>
                <w:sz w:val="19"/>
              </w:rPr>
              <w:t>August 2026</w:t>
            </w:r>
          </w:p>
          <w:p>
            <w:pPr>
              <w:spacing w:after="80"/>
              <w:jc w:val="center"/>
            </w:pPr>
            <w:r>
              <w:rPr>
                <w:rFonts w:ascii="Arial" w:hAnsi="Arial"/>
                <w:b w:val="0"/>
                <w:i w:val="0"/>
                <w:color w:val="B9C3D2"/>
                <w:sz w:val="17"/>
                <w:spacing w:val="18"/>
              </w:rPr>
              <w:t xml:space="preserve">PREPARED FOR:  </w:t>
            </w:r>
            <w:r>
              <w:rPr>
                <w:rFonts w:ascii="Arial" w:hAnsi="Arial"/>
                <w:b/>
                <w:i w:val="0"/>
                <w:color w:val="FFFFFF"/>
                <w:sz w:val="19"/>
              </w:rPr>
              <w:t>Singaporean Investors</w:t>
            </w:r>
          </w:p>
          <w:p>
            <w:pPr>
              <w:spacing w:after="80"/>
              <w:jc w:val="center"/>
            </w:pPr>
            <w:r>
              <w:rPr>
                <w:rFonts w:ascii="Arial" w:hAnsi="Arial"/>
                <w:b w:val="0"/>
                <w:i w:val="0"/>
                <w:color w:val="B9C3D2"/>
                <w:sz w:val="17"/>
                <w:spacing w:val="18"/>
              </w:rPr>
              <w:t xml:space="preserve">PREPARED BY:  </w:t>
            </w:r>
            <w:r>
              <w:rPr>
                <w:rFonts w:ascii="Arial" w:hAnsi="Arial"/>
                <w:b/>
                <w:i w:val="0"/>
                <w:color w:val="FFFFFF"/>
                <w:sz w:val="19"/>
              </w:rPr>
              <w:t>W. Ledingham, Mortgage Broker</w:t>
            </w:r>
          </w:p>
          <w:p>
            <w:pPr>
              <w:spacing w:after="80"/>
              <w:jc w:val="center"/>
            </w:pPr>
            <w:r>
              <w:rPr>
                <w:rFonts w:ascii="Arial" w:hAnsi="Arial"/>
                <w:b w:val="0"/>
                <w:i w:val="0"/>
                <w:color w:val="B9C3D2"/>
                <w:sz w:val="17"/>
                <w:spacing w:val="18"/>
              </w:rPr>
              <w:t xml:space="preserve">EDITION:  </w:t>
            </w:r>
            <w:r>
              <w:rPr>
                <w:rFonts w:ascii="Arial" w:hAnsi="Arial"/>
                <w:b/>
                <w:i w:val="0"/>
                <w:color w:val="FFFFFF"/>
                <w:sz w:val="19"/>
              </w:rPr>
              <w:t>v1.0 — 6 August 2026</w:t>
            </w:r>
          </w:p>
          <w:p>
            <w:pPr>
              <w:spacing w:before="200"/>
              <w:jc w:val="center"/>
            </w:pPr>
            <w:r>
              <w:rPr>
                <w:rFonts w:ascii="Arial" w:hAnsi="Arial"/>
                <w:b w:val="0"/>
                <w:i w:val="0"/>
                <w:color w:val="8B97A8"/>
                <w:sz w:val="16"/>
              </w:rPr>
              <w:t>Artificial Intelligence (AI) was used in the preparation of this report. All figures and market data have been human-verified against primary sources (ATO, ABS, REIWA, SQM Research, HIA and state revenue offices) as at August 2026. This report is general information only and is not financial, credit, legal or tax advice.</w:t>
            </w:r>
          </w:p>
        </w:tc>
      </w:tr>
    </w:tbl>
    <w:p>
      <w:r>
        <w:br w:type="page"/>
      </w:r>
    </w:p>
    <w:p>
      <w:pPr>
        <w:spacing w:after="200"/>
      </w:pPr>
      <w:r>
        <w:rPr>
          <w:rFonts w:ascii="Arial" w:hAnsi="Arial"/>
          <w:b/>
          <w:i w:val="0"/>
          <w:color w:val="B02A37"/>
          <w:sz w:val="20"/>
          <w:spacing w:val="26"/>
        </w:rPr>
        <w:t>IMPORTANT NOTICES</w:t>
      </w:r>
    </w:p>
    <w:p>
      <w:pPr>
        <w:spacing w:after="120"/>
      </w:pPr>
      <w:r>
        <w:rPr>
          <w:rFonts w:ascii="Georgia" w:hAnsi="Georgia"/>
          <w:b/>
          <w:i w:val="0"/>
          <w:color w:val="1A2332"/>
          <w:sz w:val="40"/>
        </w:rPr>
        <w:t>Please read before relying on this report</w:t>
      </w:r>
    </w:p>
    <w:p>
      <w:pPr>
        <w:spacing w:after="280"/>
        <w:pBdr>
          <w:bottom w:val="single" w:sz="12" w:space="6" w:color="B02A37"/>
        </w:pBdr>
      </w:pPr>
    </w:p>
    <w:tbl>
      <w:tblPr>
        <w:tblStyle w:val="TableGrid"/>
        <w:tblW w:type="auto" w:w="0"/>
        <w:tblLook w:firstColumn="1" w:firstRow="1" w:lastColumn="0" w:lastRow="0" w:noHBand="0" w:noVBand="1" w:val="04A0"/>
      </w:tblPr>
      <w:tblGrid>
        <w:gridCol w:w="9412"/>
      </w:tblGrid>
      <w:tr>
        <w:tc>
          <w:tcPr>
            <w:tcW w:type="dxa" w:w="9412"/>
            <w:tcBorders>
              <w:left w:val="single" w:sz="18" w:space="0" w:color="B02A37"/>
            </w:tcBorders>
          </w:tcPr>
          <w:p>
            <w:pPr>
              <w:spacing w:before="120" w:after="40"/>
            </w:pPr>
            <w:r>
              <w:rPr>
                <w:rFonts w:ascii="Arial" w:hAnsi="Arial"/>
                <w:b/>
                <w:i w:val="0"/>
                <w:color w:val="1A2332"/>
                <w:sz w:val="21"/>
              </w:rPr>
              <w:t>1.  General information only — not financial advice</w:t>
            </w:r>
          </w:p>
          <w:p>
            <w:pPr>
              <w:spacing w:after="120"/>
            </w:pPr>
            <w:r>
              <w:rPr>
                <w:rFonts w:ascii="Arial" w:hAnsi="Arial"/>
                <w:b w:val="0"/>
                <w:i w:val="0"/>
                <w:color w:val="3A4658"/>
                <w:sz w:val="19"/>
              </w:rPr>
              <w:t xml:space="preserve">This report contains factual information and general market data only. It has been prepared without regard to any person's objectives, financial situation or investment needs, and it is </w:t>
            </w:r>
            <w:r>
              <w:rPr>
                <w:rFonts w:ascii="Arial" w:hAnsi="Arial"/>
                <w:b/>
                <w:i w:val="0"/>
                <w:color w:val="3A4658"/>
                <w:sz w:val="19"/>
              </w:rPr>
              <w:t>not</w:t>
            </w:r>
            <w:r>
              <w:rPr>
                <w:rFonts w:ascii="Arial" w:hAnsi="Arial"/>
                <w:b w:val="0"/>
                <w:i w:val="0"/>
                <w:color w:val="3A4658"/>
                <w:sz w:val="19"/>
              </w:rPr>
              <w:t xml:space="preserve"> financial product advice, investment advice or a recommendation to buy, sell or hold any particular property or asset. You should obtain independent professional advice before acting on anything in this report.</w:t>
            </w:r>
          </w:p>
        </w:tc>
      </w:tr>
      <w:tr>
        <w:tc>
          <w:tcPr>
            <w:tcW w:type="dxa" w:w="9412"/>
          </w:tcPr>
          <w:p>
            <w:pPr>
              <w:spacing w:before="120" w:after="40"/>
            </w:pPr>
            <w:r>
              <w:rPr>
                <w:rFonts w:ascii="Arial" w:hAnsi="Arial"/>
                <w:b/>
                <w:i w:val="0"/>
                <w:color w:val="1A2332"/>
                <w:sz w:val="21"/>
              </w:rPr>
              <w:t>2.  Not credit assistance</w:t>
            </w:r>
          </w:p>
          <w:p>
            <w:pPr>
              <w:spacing w:after="120"/>
            </w:pPr>
            <w:r>
              <w:rPr>
                <w:rFonts w:ascii="Arial" w:hAnsi="Arial"/>
                <w:b w:val="0"/>
                <w:i w:val="0"/>
                <w:color w:val="3A4658"/>
                <w:sz w:val="19"/>
              </w:rPr>
              <w:t>This report is not an assessment of any borrower's suitability for a loan and does not constitute credit assistance under the National Consumer Credit Protection Act 2009 (Cth). Any discussion of lending parameters is general market information only.</w:t>
            </w:r>
          </w:p>
        </w:tc>
      </w:tr>
      <w:tr>
        <w:tc>
          <w:tcPr>
            <w:tcW w:type="dxa" w:w="9412"/>
          </w:tcPr>
          <w:p>
            <w:pPr>
              <w:spacing w:before="120" w:after="40"/>
            </w:pPr>
            <w:r>
              <w:rPr>
                <w:rFonts w:ascii="Arial" w:hAnsi="Arial"/>
                <w:b/>
                <w:i w:val="0"/>
                <w:color w:val="1A2332"/>
                <w:sz w:val="21"/>
              </w:rPr>
              <w:t>3.  Taxation and legal matters</w:t>
            </w:r>
          </w:p>
          <w:p>
            <w:pPr>
              <w:spacing w:after="120"/>
            </w:pPr>
            <w:r>
              <w:rPr>
                <w:rFonts w:ascii="Arial" w:hAnsi="Arial"/>
                <w:b w:val="0"/>
                <w:i w:val="0"/>
                <w:color w:val="3A4658"/>
                <w:sz w:val="19"/>
              </w:rPr>
              <w:t xml:space="preserve">The author is a mortgage broker and is </w:t>
            </w:r>
            <w:r>
              <w:rPr>
                <w:rFonts w:ascii="Arial" w:hAnsi="Arial"/>
                <w:b/>
                <w:i w:val="0"/>
                <w:color w:val="3A4658"/>
                <w:sz w:val="19"/>
              </w:rPr>
              <w:t>not</w:t>
            </w:r>
            <w:r>
              <w:rPr>
                <w:rFonts w:ascii="Arial" w:hAnsi="Arial"/>
                <w:b w:val="0"/>
                <w:i w:val="0"/>
                <w:color w:val="3A4658"/>
                <w:sz w:val="19"/>
              </w:rPr>
              <w:t xml:space="preserve"> a registered tax agent or legal practitioner. Tax outcomes depend on individual circumstances, residency status and future legislative changes. Readers must obtain independent taxation advice from a qualified tax professional in Australia and in their home jurisdiction, and independent legal advice on FIRB eligibility, state revenue laws and cross-border implications, before making any commitment.</w:t>
            </w:r>
          </w:p>
        </w:tc>
      </w:tr>
      <w:tr>
        <w:tc>
          <w:tcPr>
            <w:tcW w:type="dxa" w:w="9412"/>
          </w:tcPr>
          <w:p>
            <w:pPr>
              <w:spacing w:before="120" w:after="40"/>
            </w:pPr>
            <w:r>
              <w:rPr>
                <w:rFonts w:ascii="Arial" w:hAnsi="Arial"/>
                <w:b/>
                <w:i w:val="0"/>
                <w:color w:val="1A2332"/>
                <w:sz w:val="21"/>
              </w:rPr>
              <w:t>4.  Artificial Intelligence disclosure</w:t>
            </w:r>
          </w:p>
          <w:p>
            <w:pPr>
              <w:spacing w:after="120"/>
            </w:pPr>
            <w:r>
              <w:rPr>
                <w:rFonts w:ascii="Arial" w:hAnsi="Arial"/>
                <w:b w:val="0"/>
                <w:i w:val="0"/>
                <w:color w:val="3A4658"/>
                <w:sz w:val="19"/>
              </w:rPr>
              <w:t>Artificial intelligence tools and multi-agent workflows were used to assist in aggregating, structuring and drafting portions of this report. All financial figures, tax rates and market statistics have been human-verified against primary sources (ATO, ABS, REIWA, SQM Research, HIA and state revenue offices). The author assumes full responsibility for the accuracy of the content.</w:t>
            </w:r>
          </w:p>
        </w:tc>
      </w:tr>
      <w:tr>
        <w:tc>
          <w:tcPr>
            <w:tcW w:type="dxa" w:w="9412"/>
          </w:tcPr>
          <w:p>
            <w:pPr>
              <w:spacing w:before="120" w:after="40"/>
            </w:pPr>
            <w:r>
              <w:rPr>
                <w:rFonts w:ascii="Arial" w:hAnsi="Arial"/>
                <w:b/>
                <w:i w:val="0"/>
                <w:color w:val="1A2332"/>
                <w:sz w:val="21"/>
              </w:rPr>
              <w:t>5.  Conflict of interest disclosure</w:t>
            </w:r>
          </w:p>
          <w:p>
            <w:pPr>
              <w:spacing w:after="120"/>
            </w:pPr>
            <w:r>
              <w:rPr>
                <w:rFonts w:ascii="Arial" w:hAnsi="Arial"/>
                <w:b w:val="0"/>
                <w:i w:val="0"/>
                <w:color w:val="3A4658"/>
                <w:sz w:val="19"/>
              </w:rPr>
              <w:t>The author is a mortgage broker and may receive commissions, fees or other remuneration from lenders or referral partners where readers obtain finance or related services as a result of this report or otherwise.</w:t>
            </w:r>
          </w:p>
        </w:tc>
      </w:tr>
      <w:tr>
        <w:tc>
          <w:tcPr>
            <w:tcW w:type="dxa" w:w="9412"/>
          </w:tcPr>
          <w:p>
            <w:pPr>
              <w:spacing w:before="120" w:after="40"/>
            </w:pPr>
            <w:r>
              <w:rPr>
                <w:rFonts w:ascii="Arial" w:hAnsi="Arial"/>
                <w:b/>
                <w:i w:val="0"/>
                <w:color w:val="1A2332"/>
                <w:sz w:val="21"/>
              </w:rPr>
              <w:t>6.  Credit licence status</w:t>
            </w:r>
          </w:p>
          <w:p>
            <w:pPr>
              <w:spacing w:after="120"/>
            </w:pPr>
            <w:r>
              <w:rPr>
                <w:rFonts w:ascii="Arial" w:hAnsi="Arial"/>
                <w:b w:val="0"/>
                <w:i w:val="0"/>
                <w:color w:val="3A4658"/>
                <w:sz w:val="19"/>
              </w:rPr>
              <w:t>W. Ledingham is a Credit Representative of Purple Circle Financial Services, Australian Credit Licence 486112 (credit services only). This report is published for information purposes and does not extend the scope of any credit licence.</w:t>
            </w:r>
          </w:p>
        </w:tc>
      </w:tr>
      <w:tr>
        <w:tc>
          <w:tcPr>
            <w:tcW w:type="dxa" w:w="9412"/>
          </w:tcPr>
          <w:p>
            <w:pPr>
              <w:spacing w:before="120" w:after="40"/>
            </w:pPr>
            <w:r>
              <w:rPr>
                <w:rFonts w:ascii="Arial" w:hAnsi="Arial"/>
                <w:b/>
                <w:i w:val="0"/>
                <w:color w:val="1A2332"/>
                <w:sz w:val="21"/>
              </w:rPr>
              <w:t>7.  Date-sensitive information</w:t>
            </w:r>
          </w:p>
          <w:p>
            <w:pPr>
              <w:spacing w:after="120"/>
            </w:pPr>
            <w:r>
              <w:rPr>
                <w:rFonts w:ascii="Arial" w:hAnsi="Arial"/>
                <w:b w:val="0"/>
                <w:i w:val="0"/>
                <w:color w:val="3A4658"/>
                <w:sz w:val="19"/>
              </w:rPr>
              <w:t>Figures in this report were verified on 6 August 2026. FIRB fees are indexed annually on 1 July; state surcharge rates and concession eligibility change periodically. Confirm all figures at the time of any purchase decision.</w:t>
            </w:r>
          </w:p>
        </w:tc>
      </w:tr>
    </w:tbl>
    <w:p>
      <w:pPr>
        <w:spacing w:before="200" w:after="240"/>
        <w:shd w:val="clear" w:color="auto" w:fill="FBF5EA"/>
        <w:pBdr>
          <w:left w:val="single" w:sz="16" w:space="6" w:color="C9A227"/>
        </w:pBdr>
        <w:ind w:left="142" w:right="142"/>
      </w:pPr>
      <w:r>
        <w:rPr>
          <w:rFonts w:ascii="Arial" w:hAnsi="Arial"/>
          <w:b/>
          <w:i w:val="0"/>
          <w:color w:val="4D4428"/>
          <w:sz w:val="20"/>
        </w:rPr>
        <w:t>Methodology note:</w:t>
      </w:r>
      <w:r>
        <w:rPr>
          <w:rFonts w:ascii="Arial" w:hAnsi="Arial"/>
          <w:b w:val="0"/>
          <w:i w:val="0"/>
          <w:color w:val="4D4428"/>
          <w:sz w:val="20"/>
        </w:rPr>
        <w:t xml:space="preserve"> this report applies a transparent, weighted scoring framework (Section 3 and the Appendix) to compare Australian jurisdictions. Different investors weighting criteria differently may reasonably reach different conclusions. The report presents the results of that framework; it does not recommend that any reader invest in any particular state or property.</w:t>
      </w:r>
    </w:p>
    <w:p>
      <w:r>
        <w:br w:type="page"/>
      </w:r>
    </w:p>
    <w:p>
      <w:pPr>
        <w:spacing w:after="200"/>
      </w:pPr>
      <w:r>
        <w:rPr>
          <w:rFonts w:ascii="Arial" w:hAnsi="Arial"/>
          <w:b/>
          <w:i w:val="0"/>
          <w:color w:val="B02A37"/>
          <w:sz w:val="20"/>
          <w:spacing w:val="26"/>
        </w:rPr>
        <w:t>INTRODUCTION</w:t>
      </w:r>
    </w:p>
    <w:p>
      <w:pPr>
        <w:spacing w:after="120"/>
      </w:pPr>
      <w:r>
        <w:rPr>
          <w:rFonts w:ascii="Georgia" w:hAnsi="Georgia"/>
          <w:b/>
          <w:i w:val="0"/>
          <w:color w:val="1A2332"/>
          <w:sz w:val="40"/>
        </w:rPr>
        <w:t>Australia's property market — the context for Singaporean buyers</w:t>
      </w:r>
    </w:p>
    <w:p>
      <w:pPr>
        <w:spacing w:after="280"/>
        <w:pBdr>
          <w:bottom w:val="single" w:sz="12" w:space="6" w:color="B02A37"/>
        </w:pBdr>
      </w:pPr>
    </w:p>
    <w:p>
      <w:pPr>
        <w:spacing w:after="160"/>
      </w:pPr>
      <w:r>
        <w:rPr>
          <w:rFonts w:ascii="Arial" w:hAnsi="Arial"/>
          <w:b w:val="0"/>
          <w:i w:val="0"/>
          <w:color w:val="5B6779"/>
          <w:sz w:val="23"/>
        </w:rPr>
        <w:t xml:space="preserve">For a Singaporean purchaser, the starting comparison is stark. Singapore's Additional Buyer's Stamp Duty charges foreign buyers </w:t>
      </w:r>
      <w:r>
        <w:rPr>
          <w:rFonts w:ascii="Arial" w:hAnsi="Arial"/>
          <w:b/>
          <w:i w:val="0"/>
          <w:color w:val="5B6779"/>
          <w:sz w:val="23"/>
        </w:rPr>
        <w:t>60%</w:t>
      </w:r>
      <w:r>
        <w:rPr>
          <w:rFonts w:ascii="Arial" w:hAnsi="Arial"/>
          <w:b w:val="0"/>
          <w:i w:val="0"/>
          <w:color w:val="5B6779"/>
          <w:sz w:val="23"/>
        </w:rPr>
        <w:t xml:space="preserve"> of a property's value. In Australia's Australian Capital Territory the equivalent foreign surcharge is </w:t>
      </w:r>
      <w:r>
        <w:rPr>
          <w:rFonts w:ascii="Arial" w:hAnsi="Arial"/>
          <w:b/>
          <w:i w:val="0"/>
          <w:color w:val="5B6779"/>
          <w:sz w:val="23"/>
        </w:rPr>
        <w:t>0%</w:t>
      </w:r>
      <w:r>
        <w:rPr>
          <w:rFonts w:ascii="Arial" w:hAnsi="Arial"/>
          <w:b w:val="0"/>
          <w:i w:val="0"/>
          <w:color w:val="5B6779"/>
          <w:sz w:val="23"/>
        </w:rPr>
        <w:t xml:space="preserve">, and in Western Australia a </w:t>
      </w:r>
      <w:r>
        <w:rPr>
          <w:rFonts w:ascii="Arial" w:hAnsi="Arial"/>
          <w:b/>
          <w:i w:val="0"/>
          <w:color w:val="5B6779"/>
          <w:sz w:val="23"/>
        </w:rPr>
        <w:t>100% off-the-plan duty concession</w:t>
      </w:r>
      <w:r>
        <w:rPr>
          <w:rFonts w:ascii="Arial" w:hAnsi="Arial"/>
          <w:b w:val="0"/>
          <w:i w:val="0"/>
          <w:color w:val="5B6779"/>
          <w:sz w:val="23"/>
        </w:rPr>
        <w:t xml:space="preserve"> removes the standard transfer duty on new dwellings up to $800,000.</w:t>
      </w:r>
    </w:p>
    <w:p>
      <w:pPr>
        <w:spacing w:after="160"/>
      </w:pPr>
      <w:r>
        <w:rPr>
          <w:rFonts w:ascii="Arial" w:hAnsi="Arial"/>
          <w:b w:val="0"/>
          <w:i w:val="0"/>
          <w:color w:val="2C3748"/>
          <w:sz w:val="21"/>
        </w:rPr>
        <w:t xml:space="preserve">The federal ban on foreign purchases of established dwellings (1 April 2025 – 30 June 2029) means that, for most foreign non-residents, </w:t>
      </w:r>
      <w:r>
        <w:rPr>
          <w:rFonts w:ascii="Arial" w:hAnsi="Arial"/>
          <w:b/>
          <w:i w:val="0"/>
          <w:color w:val="2C3748"/>
          <w:sz w:val="21"/>
        </w:rPr>
        <w:t>new dwellings represent the primary pathway available under current FIRB rules</w:t>
      </w:r>
      <w:r>
        <w:rPr>
          <w:rFonts w:ascii="Arial" w:hAnsi="Arial"/>
          <w:b w:val="0"/>
          <w:i w:val="0"/>
          <w:color w:val="2C3748"/>
          <w:sz w:val="21"/>
        </w:rPr>
        <w:t xml:space="preserve"> (limited exceptions apply). This report examines the state-level environment — surcharges, incentives, yields, population growth and market depth — for purchasers of new property, and applies a transparent scoring framework to compare the eight Australian jurisdictions.</w:t>
      </w:r>
    </w:p>
    <w:tbl>
      <w:tblPr>
        <w:tblW w:type="auto" w:w="0"/>
        <w:tblLook w:firstColumn="1" w:firstRow="1" w:lastColumn="0" w:lastRow="0" w:noHBand="0" w:noVBand="1" w:val="04A0"/>
        <w:jc w:val="center"/>
        <w:tblLayout w:type="fixed"/>
      </w:tblPr>
      <w:tblGrid>
        <w:gridCol w:w="2353"/>
        <w:gridCol w:w="2353"/>
        <w:gridCol w:w="2353"/>
        <w:gridCol w:w="2353"/>
      </w:tblGrid>
      <w:tr>
        <w:tc>
          <w:tcPr>
            <w:tcW w:type="dxa" w:w="2324"/>
            <w:shd w:val="clear" w:color="auto" w:fill="F4F6F9"/>
            <w:tcBorders>
              <w:top w:val="single" w:sz="12" w:space="0" w:color="B02A37"/>
            </w:tcBorders>
          </w:tcPr>
          <w:p>
            <w:pPr>
              <w:spacing w:before="160" w:after="40"/>
            </w:pPr>
            <w:r>
              <w:rPr>
                <w:rFonts w:ascii="Georgia" w:hAnsi="Georgia"/>
                <w:b/>
                <w:i w:val="0"/>
                <w:color w:val="7E1E28"/>
                <w:sz w:val="40"/>
              </w:rPr>
              <w:t>60%</w:t>
            </w:r>
          </w:p>
          <w:p>
            <w:pPr>
              <w:spacing w:after="160"/>
            </w:pPr>
            <w:r>
              <w:rPr>
                <w:rFonts w:ascii="Arial" w:hAnsi="Arial"/>
                <w:b w:val="0"/>
                <w:i w:val="0"/>
                <w:color w:val="5B6779"/>
                <w:sz w:val="16"/>
              </w:rPr>
              <w:t>Singapore ABSD on foreign buyers — the benchmark against which Australia is compared</w:t>
            </w:r>
          </w:p>
        </w:tc>
        <w:tc>
          <w:tcPr>
            <w:tcW w:type="dxa" w:w="2324"/>
            <w:shd w:val="clear" w:color="auto" w:fill="F4F6F9"/>
            <w:tcBorders>
              <w:top w:val="single" w:sz="12" w:space="0" w:color="C9A227"/>
            </w:tcBorders>
          </w:tcPr>
          <w:p>
            <w:pPr>
              <w:spacing w:before="160" w:after="40"/>
            </w:pPr>
            <w:r>
              <w:rPr>
                <w:rFonts w:ascii="Georgia" w:hAnsi="Georgia"/>
                <w:b/>
                <w:i w:val="0"/>
                <w:color w:val="C9A227"/>
                <w:sz w:val="40"/>
              </w:rPr>
              <w:t>0%</w:t>
            </w:r>
          </w:p>
          <w:p>
            <w:pPr>
              <w:spacing w:after="160"/>
            </w:pPr>
            <w:r>
              <w:rPr>
                <w:rFonts w:ascii="Arial" w:hAnsi="Arial"/>
                <w:b w:val="0"/>
                <w:i w:val="0"/>
                <w:color w:val="5B6779"/>
                <w:sz w:val="16"/>
              </w:rPr>
              <w:t>ACT foreign surcharge duty and land tax surcharge</w:t>
            </w:r>
          </w:p>
        </w:tc>
        <w:tc>
          <w:tcPr>
            <w:tcW w:type="dxa" w:w="2324"/>
            <w:shd w:val="clear" w:color="auto" w:fill="F4F6F9"/>
            <w:tcBorders>
              <w:top w:val="single" w:sz="12" w:space="0" w:color="2D6A4F"/>
            </w:tcBorders>
          </w:tcPr>
          <w:p>
            <w:pPr>
              <w:spacing w:before="160" w:after="40"/>
            </w:pPr>
            <w:r>
              <w:rPr>
                <w:rFonts w:ascii="Georgia" w:hAnsi="Georgia"/>
                <w:b/>
                <w:i w:val="0"/>
                <w:color w:val="2D6A4F"/>
                <w:sz w:val="40"/>
              </w:rPr>
              <w:t>100%</w:t>
            </w:r>
          </w:p>
          <w:p>
            <w:pPr>
              <w:spacing w:after="160"/>
            </w:pPr>
            <w:r>
              <w:rPr>
                <w:rFonts w:ascii="Arial" w:hAnsi="Arial"/>
                <w:b w:val="0"/>
                <w:i w:val="0"/>
                <w:color w:val="5B6779"/>
                <w:sz w:val="16"/>
              </w:rPr>
              <w:t>WA off-the-plan duty relief on new dwellings to $800k (to 30 Jun 2028)</w:t>
            </w:r>
          </w:p>
        </w:tc>
        <w:tc>
          <w:tcPr>
            <w:tcW w:type="dxa" w:w="2324"/>
            <w:shd w:val="clear" w:color="auto" w:fill="F4F6F9"/>
            <w:tcBorders>
              <w:top w:val="single" w:sz="12" w:space="0" w:color="B02A37"/>
            </w:tcBorders>
          </w:tcPr>
          <w:p>
            <w:pPr>
              <w:spacing w:before="160" w:after="40"/>
            </w:pPr>
            <w:r>
              <w:rPr>
                <w:rFonts w:ascii="Georgia" w:hAnsi="Georgia"/>
                <w:b/>
                <w:i w:val="0"/>
                <w:color w:val="7E1E28"/>
                <w:sz w:val="40"/>
              </w:rPr>
              <w:t>2.2%</w:t>
            </w:r>
          </w:p>
          <w:p>
            <w:pPr>
              <w:spacing w:after="160"/>
            </w:pPr>
            <w:r>
              <w:rPr>
                <w:rFonts w:ascii="Arial" w:hAnsi="Arial"/>
                <w:b w:val="0"/>
                <w:i w:val="0"/>
                <w:color w:val="5B6779"/>
                <w:sz w:val="16"/>
              </w:rPr>
              <w:t>WA population growth — fastest in Australia (ABS, Dec 2025)</w:t>
            </w:r>
          </w:p>
        </w:tc>
      </w:tr>
    </w:tbl>
    <w:p>
      <w:pPr>
        <w:spacing w:after="40"/>
      </w:pPr>
    </w:p>
    <w:p>
      <w:r>
        <w:br w:type="page"/>
      </w:r>
    </w:p>
    <w:p>
      <w:pPr>
        <w:spacing w:after="200"/>
      </w:pPr>
      <w:r>
        <w:rPr>
          <w:rFonts w:ascii="Arial" w:hAnsi="Arial"/>
          <w:b/>
          <w:i w:val="0"/>
          <w:color w:val="B02A37"/>
          <w:sz w:val="20"/>
          <w:spacing w:val="26"/>
        </w:rPr>
        <w:t>KEY OBSERVATIONS</w:t>
      </w:r>
    </w:p>
    <w:p>
      <w:pPr>
        <w:spacing w:after="120"/>
      </w:pPr>
      <w:r>
        <w:rPr>
          <w:rFonts w:ascii="Georgia" w:hAnsi="Georgia"/>
          <w:b/>
          <w:i w:val="0"/>
          <w:color w:val="1A2332"/>
          <w:sz w:val="40"/>
        </w:rPr>
        <w:t>What the data shows</w:t>
      </w:r>
    </w:p>
    <w:p>
      <w:pPr>
        <w:spacing w:after="280"/>
        <w:pBdr>
          <w:bottom w:val="single" w:sz="12" w:space="6" w:color="B02A37"/>
        </w:pBdr>
      </w:pPr>
    </w:p>
    <w:p>
      <w:pPr>
        <w:spacing w:after="160"/>
      </w:pPr>
      <w:r>
        <w:rPr>
          <w:rFonts w:ascii="Arial" w:hAnsi="Arial"/>
          <w:b w:val="0"/>
          <w:i w:val="0"/>
          <w:color w:val="5B6779"/>
          <w:sz w:val="23"/>
        </w:rPr>
        <w:t xml:space="preserve">Applying the weighted scoring framework in Section 3, </w:t>
      </w:r>
      <w:r>
        <w:rPr>
          <w:rFonts w:ascii="Arial" w:hAnsi="Arial"/>
          <w:b/>
          <w:i w:val="0"/>
          <w:color w:val="5B6779"/>
          <w:sz w:val="23"/>
        </w:rPr>
        <w:t>Western Australia recorded the highest composite score</w:t>
      </w:r>
      <w:r>
        <w:rPr>
          <w:rFonts w:ascii="Arial" w:hAnsi="Arial"/>
          <w:b w:val="0"/>
          <w:i w:val="0"/>
          <w:color w:val="5B6779"/>
          <w:sz w:val="23"/>
        </w:rPr>
        <w:t xml:space="preserve"> among the eight jurisdictions, and the </w:t>
      </w:r>
      <w:r>
        <w:rPr>
          <w:rFonts w:ascii="Arial" w:hAnsi="Arial"/>
          <w:b/>
          <w:i w:val="0"/>
          <w:color w:val="5B6779"/>
          <w:sz w:val="23"/>
        </w:rPr>
        <w:t>Australian Capital Territory the second-highest</w:t>
      </w:r>
      <w:r>
        <w:rPr>
          <w:rFonts w:ascii="Arial" w:hAnsi="Arial"/>
          <w:b w:val="0"/>
          <w:i w:val="0"/>
          <w:color w:val="5B6779"/>
          <w:sz w:val="23"/>
        </w:rPr>
        <w:t>. The observations below summarise the data behind those scores.</w:t>
      </w:r>
    </w:p>
    <w:p>
      <w:pPr>
        <w:spacing w:before="240" w:after="80"/>
      </w:pPr>
      <w:r>
        <w:rPr>
          <w:rFonts w:ascii="Arial" w:hAnsi="Arial"/>
          <w:b/>
          <w:i w:val="0"/>
          <w:color w:val="1A2332"/>
          <w:sz w:val="25"/>
        </w:rPr>
        <w:t>1 — The ABSD differential</w:t>
      </w:r>
    </w:p>
    <w:p>
      <w:pPr>
        <w:spacing w:after="160"/>
      </w:pPr>
      <w:r>
        <w:rPr>
          <w:rFonts w:ascii="Arial" w:hAnsi="Arial"/>
          <w:b w:val="0"/>
          <w:i w:val="0"/>
          <w:color w:val="2C3748"/>
          <w:sz w:val="21"/>
        </w:rPr>
        <w:t>Singapore's ABSD of 60% on foreign buyers is among the highest property-transfer taxes in the developed world. Australia's state-level foreign surcharges range from 0% (ACT, NT) to 9% (NSW). The ACT (0%) and WA (7%, offset by the 100% duty concession) exhibit the lowest combined foreign-investor entry costs.</w:t>
      </w:r>
    </w:p>
    <w:p>
      <w:pPr>
        <w:spacing w:before="240" w:after="80"/>
      </w:pPr>
      <w:r>
        <w:rPr>
          <w:rFonts w:ascii="Arial" w:hAnsi="Arial"/>
          <w:b/>
          <w:i w:val="0"/>
          <w:color w:val="1A2332"/>
          <w:sz w:val="25"/>
        </w:rPr>
        <w:t>2 — ACT: the zero-surcharge jurisdiction</w:t>
      </w:r>
    </w:p>
    <w:p>
      <w:pPr>
        <w:spacing w:after="160"/>
      </w:pPr>
      <w:r>
        <w:rPr>
          <w:rFonts w:ascii="Arial" w:hAnsi="Arial"/>
          <w:b w:val="0"/>
          <w:i w:val="0"/>
          <w:color w:val="2C3748"/>
          <w:sz w:val="21"/>
        </w:rPr>
        <w:t>The ACT is one of two jurisdictions (with the Northern Territory) with no foreign surcharge — neither surcharge purchaser duty nor surcharge land tax. On a $700,000 purchase, the ACT's zero surcharge compares with $49,000 in WA and $63,000 in NSW.</w:t>
      </w:r>
    </w:p>
    <w:p>
      <w:pPr>
        <w:spacing w:before="240" w:after="80"/>
      </w:pPr>
      <w:r>
        <w:rPr>
          <w:rFonts w:ascii="Arial" w:hAnsi="Arial"/>
          <w:b/>
          <w:i w:val="0"/>
          <w:color w:val="1A2332"/>
          <w:sz w:val="25"/>
        </w:rPr>
        <w:t>3 — WA: the off-the-plan duty concession</w:t>
      </w:r>
    </w:p>
    <w:p>
      <w:pPr>
        <w:spacing w:after="160"/>
      </w:pPr>
      <w:r>
        <w:rPr>
          <w:rFonts w:ascii="Arial" w:hAnsi="Arial"/>
          <w:b w:val="0"/>
          <w:i w:val="0"/>
          <w:color w:val="2C3748"/>
          <w:sz w:val="21"/>
        </w:rPr>
        <w:t>WA's 7% surcharge is the lowest of the mainland states, and its off-the-plan duty concession removes 100% of transfer duty on new dwellings up to $800,000 (capped $50,000, extended to 30 June 2028) — the only concession of its kind among Australian states.</w:t>
      </w:r>
    </w:p>
    <w:p>
      <w:pPr>
        <w:spacing w:before="240" w:after="80"/>
      </w:pPr>
      <w:r>
        <w:rPr>
          <w:rFonts w:ascii="Arial" w:hAnsi="Arial"/>
          <w:b/>
          <w:i w:val="0"/>
          <w:color w:val="1A2332"/>
          <w:sz w:val="25"/>
        </w:rPr>
        <w:t>4 — Demand fundamentals</w:t>
      </w:r>
    </w:p>
    <w:p>
      <w:pPr>
        <w:spacing w:after="160"/>
      </w:pPr>
      <w:r>
        <w:rPr>
          <w:rFonts w:ascii="Arial" w:hAnsi="Arial"/>
          <w:b w:val="0"/>
          <w:i w:val="0"/>
          <w:color w:val="2C3748"/>
          <w:sz w:val="21"/>
        </w:rPr>
        <w:t>WA recorded the fastest population growth of any state (2.2% in the year to December 2025, ABS), with Perth's rental vacancy among the tightest in the nation (REIWA ~2.0%; SQM Research 0.6%). The ACT's government-anchored economy provides a stable employment and rental base (SQM Research, June 2026: Canberra 1.7%).</w:t>
      </w:r>
    </w:p>
    <w:p>
      <w:pPr>
        <w:spacing w:before="240" w:after="80"/>
      </w:pPr>
      <w:r>
        <w:rPr>
          <w:rFonts w:ascii="Arial" w:hAnsi="Arial"/>
          <w:b/>
          <w:i w:val="0"/>
          <w:color w:val="1A2332"/>
          <w:sz w:val="25"/>
        </w:rPr>
        <w:t>5 — The new-dwelling pathway</w:t>
      </w:r>
    </w:p>
    <w:p>
      <w:pPr>
        <w:spacing w:after="160"/>
      </w:pPr>
      <w:r>
        <w:rPr>
          <w:rFonts w:ascii="Arial" w:hAnsi="Arial"/>
          <w:b w:val="0"/>
          <w:i w:val="0"/>
          <w:color w:val="2C3748"/>
          <w:sz w:val="21"/>
        </w:rPr>
        <w:t>For most foreign non-residents, the 2025–29 established-dwelling ban directs investment toward new property — the segment in which ACT and WA exhibit the strongest state-level incentives. FIRB approval is a one-off application ($15,600 for dwellings up to $1M, 2026-27).</w:t>
      </w:r>
    </w:p>
    <w:p>
      <w:pPr>
        <w:spacing w:before="200" w:after="240"/>
        <w:shd w:val="clear" w:color="auto" w:fill="FBF5EA"/>
        <w:pBdr>
          <w:left w:val="single" w:sz="16" w:space="6" w:color="C9A227"/>
        </w:pBdr>
        <w:ind w:left="142" w:right="142"/>
      </w:pPr>
      <w:r>
        <w:rPr>
          <w:rFonts w:ascii="Arial" w:hAnsi="Arial"/>
          <w:b/>
          <w:i w:val="0"/>
          <w:color w:val="4D4428"/>
          <w:sz w:val="20"/>
        </w:rPr>
        <w:t>Reading this report:</w:t>
      </w:r>
      <w:r>
        <w:rPr>
          <w:rFonts w:ascii="Arial" w:hAnsi="Arial"/>
          <w:b w:val="0"/>
          <w:i w:val="0"/>
          <w:color w:val="4D4428"/>
          <w:sz w:val="20"/>
        </w:rPr>
        <w:t xml:space="preserve"> the scores reflect the weighting framework described in Section 3. An investor who weights capital-growth stability or market liquidity more heavily than entry cost may reasonably reach a different ordering. The purpose of this report is to present the data and the framework — not to direct any purchase.</w:t>
      </w:r>
    </w:p>
    <w:p>
      <w:r>
        <w:br w:type="page"/>
      </w:r>
    </w:p>
    <w:p>
      <w:pPr>
        <w:spacing w:after="200"/>
      </w:pPr>
      <w:r>
        <w:rPr>
          <w:rFonts w:ascii="Arial" w:hAnsi="Arial"/>
          <w:b/>
          <w:i w:val="0"/>
          <w:color w:val="B02A37"/>
          <w:sz w:val="20"/>
          <w:spacing w:val="26"/>
        </w:rPr>
        <w:t>SECTION 1</w:t>
      </w:r>
    </w:p>
    <w:p>
      <w:pPr>
        <w:spacing w:after="120"/>
      </w:pPr>
      <w:r>
        <w:rPr>
          <w:rFonts w:ascii="Georgia" w:hAnsi="Georgia"/>
          <w:b/>
          <w:i w:val="0"/>
          <w:color w:val="1A2332"/>
          <w:sz w:val="40"/>
        </w:rPr>
        <w:t>The ABSD differential: Singapore's 60% versus Australia's 0–9%</w:t>
      </w:r>
    </w:p>
    <w:p>
      <w:pPr>
        <w:spacing w:after="280"/>
        <w:pBdr>
          <w:bottom w:val="single" w:sz="12" w:space="6" w:color="B02A37"/>
        </w:pBdr>
      </w:pPr>
    </w:p>
    <w:p>
      <w:pPr>
        <w:spacing w:after="160"/>
      </w:pPr>
      <w:r>
        <w:rPr>
          <w:rFonts w:ascii="Arial" w:hAnsi="Arial"/>
          <w:b w:val="0"/>
          <w:i w:val="0"/>
          <w:color w:val="5B6779"/>
          <w:sz w:val="23"/>
        </w:rPr>
        <w:t>Singapore imposes a 60% Additional Buyer's Stamp Duty on foreign individuals purchasing residential property, on top of standard buyer's stamp duty. A $1 million Singapore purchase attracts approximately $600,000 in ABSD alone.</w:t>
      </w:r>
    </w:p>
    <w:p>
      <w:pPr>
        <w:spacing w:after="160"/>
      </w:pPr>
      <w:r>
        <w:rPr>
          <w:rFonts w:ascii="Arial" w:hAnsi="Arial"/>
          <w:b w:val="0"/>
          <w:i w:val="0"/>
          <w:color w:val="2C3748"/>
          <w:sz w:val="21"/>
        </w:rPr>
        <w:t>Australia's state-level foreign surcharges range from 0% (ACT, NT) to 9% (NSW). The table below sets out the surcharge position in each Australian jurisdiction for a foreign purchaser. The AUD's historically low value against the SGD also affects relative purchasing power and is a two-way currency exposure for investors on repatriation.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1A2332"/>
          </w:tcPr>
          <w:p>
            <w:pPr>
              <w:spacing w:after="40"/>
            </w:pPr>
            <w:r>
              <w:rPr>
                <w:rFonts w:ascii="Arial" w:hAnsi="Arial"/>
                <w:b/>
                <w:i w:val="0"/>
                <w:color w:val="FFFFFF"/>
                <w:sz w:val="17"/>
              </w:rPr>
              <w:t>Jurisdiction</w:t>
            </w:r>
          </w:p>
        </w:tc>
        <w:tc>
          <w:tcPr>
            <w:tcW w:type="dxa" w:w="2353"/>
            <w:shd w:val="clear" w:color="auto" w:fill="1A2332"/>
          </w:tcPr>
          <w:p>
            <w:pPr>
              <w:spacing w:after="40"/>
            </w:pPr>
            <w:r>
              <w:rPr>
                <w:rFonts w:ascii="Arial" w:hAnsi="Arial"/>
                <w:b/>
                <w:i w:val="0"/>
                <w:color w:val="FFFFFF"/>
                <w:sz w:val="17"/>
              </w:rPr>
              <w:t>Foreign surcharge duty</w:t>
            </w:r>
          </w:p>
        </w:tc>
        <w:tc>
          <w:tcPr>
            <w:tcW w:type="dxa" w:w="2353"/>
            <w:shd w:val="clear" w:color="auto" w:fill="1A2332"/>
          </w:tcPr>
          <w:p>
            <w:pPr>
              <w:spacing w:after="40"/>
            </w:pPr>
            <w:r>
              <w:rPr>
                <w:rFonts w:ascii="Arial" w:hAnsi="Arial"/>
                <w:b/>
                <w:i w:val="0"/>
                <w:color w:val="FFFFFF"/>
                <w:sz w:val="17"/>
              </w:rPr>
              <w:t>Foreign surcharge land tax</w:t>
            </w:r>
          </w:p>
        </w:tc>
        <w:tc>
          <w:tcPr>
            <w:tcW w:type="dxa" w:w="2353"/>
            <w:shd w:val="clear" w:color="auto" w:fill="1A2332"/>
          </w:tcPr>
          <w:p>
            <w:pPr>
              <w:spacing w:after="40"/>
            </w:pPr>
            <w:r>
              <w:rPr>
                <w:rFonts w:ascii="Arial" w:hAnsi="Arial"/>
                <w:b/>
                <w:i w:val="0"/>
                <w:color w:val="FFFFFF"/>
                <w:sz w:val="17"/>
              </w:rPr>
              <w:t>Off-the-plan concession</w:t>
            </w:r>
          </w:p>
        </w:tc>
      </w:tr>
      <w:tr>
        <w:tc>
          <w:tcPr>
            <w:tcW w:type="dxa" w:w="2353"/>
            <w:shd w:val="clear" w:color="auto" w:fill="EAF4EE"/>
            <w:tcBorders>
              <w:left w:val="single" w:sz="18" w:space="0" w:color="2D6A4F"/>
            </w:tcBorders>
          </w:tcPr>
          <w:p>
            <w:pPr>
              <w:spacing w:after="40"/>
            </w:pPr>
            <w:r>
              <w:rPr>
                <w:rFonts w:ascii="Arial" w:hAnsi="Arial"/>
                <w:b/>
                <w:i w:val="0"/>
                <w:color w:val="2C3748"/>
                <w:sz w:val="18"/>
              </w:rPr>
              <w:t>ACT</w:t>
            </w:r>
          </w:p>
        </w:tc>
        <w:tc>
          <w:tcPr>
            <w:tcW w:type="dxa" w:w="2353"/>
            <w:shd w:val="clear" w:color="auto" w:fill="EAF4EE"/>
            <w:tcBorders>
              <w:left w:val="single" w:sz="18" w:space="0" w:color="2D6A4F"/>
            </w:tcBorders>
          </w:tcPr>
          <w:p>
            <w:pPr>
              <w:spacing w:after="40"/>
            </w:pPr>
            <w:r>
              <w:rPr>
                <w:rFonts w:ascii="Arial" w:hAnsi="Arial"/>
                <w:b/>
                <w:i w:val="0"/>
                <w:color w:val="7E1E28"/>
                <w:sz w:val="18"/>
              </w:rPr>
              <w:t>0%</w:t>
            </w:r>
          </w:p>
        </w:tc>
        <w:tc>
          <w:tcPr>
            <w:tcW w:type="dxa" w:w="2353"/>
            <w:shd w:val="clear" w:color="auto" w:fill="EAF4EE"/>
            <w:tcBorders>
              <w:left w:val="single" w:sz="18" w:space="0" w:color="2D6A4F"/>
            </w:tcBorders>
          </w:tcPr>
          <w:p>
            <w:pPr>
              <w:spacing w:after="40"/>
            </w:pPr>
            <w:r>
              <w:rPr>
                <w:rFonts w:ascii="Arial" w:hAnsi="Arial"/>
                <w:b/>
                <w:i w:val="0"/>
                <w:color w:val="7E1E28"/>
                <w:sz w:val="18"/>
              </w:rPr>
              <w:t>0%</w:t>
            </w:r>
          </w:p>
        </w:tc>
        <w:tc>
          <w:tcPr>
            <w:tcW w:type="dxa" w:w="2353"/>
            <w:shd w:val="clear" w:color="auto" w:fill="EAF4EE"/>
            <w:tcBorders>
              <w:left w:val="single" w:sz="18" w:space="0" w:color="2D6A4F"/>
            </w:tcBorders>
          </w:tcPr>
          <w:p>
            <w:pPr>
              <w:spacing w:after="40"/>
            </w:pPr>
            <w:r>
              <w:rPr>
                <w:rFonts w:ascii="Arial" w:hAnsi="Arial"/>
                <w:i w:val="0"/>
                <w:color w:val="2C3748"/>
                <w:sz w:val="18"/>
              </w:rPr>
              <w:t>—</w:t>
            </w:r>
          </w:p>
        </w:tc>
      </w:tr>
      <w:tr>
        <w:tc>
          <w:tcPr>
            <w:tcW w:type="dxa" w:w="2353"/>
            <w:shd w:val="clear" w:color="auto" w:fill="FDF3E7"/>
            <w:tcBorders>
              <w:left w:val="single" w:sz="18" w:space="0" w:color="C9A227"/>
            </w:tcBorders>
          </w:tcPr>
          <w:p>
            <w:pPr>
              <w:spacing w:after="40"/>
            </w:pPr>
            <w:r>
              <w:rPr>
                <w:rFonts w:ascii="Arial" w:hAnsi="Arial"/>
                <w:b/>
                <w:i w:val="0"/>
                <w:color w:val="2C3748"/>
                <w:sz w:val="18"/>
              </w:rPr>
              <w:t>WA</w:t>
            </w:r>
          </w:p>
        </w:tc>
        <w:tc>
          <w:tcPr>
            <w:tcW w:type="dxa" w:w="2353"/>
            <w:shd w:val="clear" w:color="auto" w:fill="FDF3E7"/>
            <w:tcBorders>
              <w:left w:val="single" w:sz="18" w:space="0" w:color="C9A227"/>
            </w:tcBorders>
          </w:tcPr>
          <w:p>
            <w:pPr>
              <w:spacing w:after="40"/>
            </w:pPr>
            <w:r>
              <w:rPr>
                <w:rFonts w:ascii="Arial" w:hAnsi="Arial"/>
                <w:i w:val="0"/>
                <w:color w:val="2C3748"/>
                <w:sz w:val="18"/>
              </w:rPr>
              <w:t>7%</w:t>
            </w:r>
          </w:p>
        </w:tc>
        <w:tc>
          <w:tcPr>
            <w:tcW w:type="dxa" w:w="2353"/>
            <w:shd w:val="clear" w:color="auto" w:fill="FDF3E7"/>
            <w:tcBorders>
              <w:left w:val="single" w:sz="18" w:space="0" w:color="C9A227"/>
            </w:tcBorders>
          </w:tcPr>
          <w:p>
            <w:pPr>
              <w:spacing w:after="40"/>
            </w:pPr>
            <w:r>
              <w:rPr>
                <w:rFonts w:ascii="Arial" w:hAnsi="Arial"/>
                <w:b/>
                <w:i w:val="0"/>
                <w:color w:val="7E1E28"/>
                <w:sz w:val="18"/>
              </w:rPr>
              <w:t>0%</w:t>
            </w:r>
          </w:p>
        </w:tc>
        <w:tc>
          <w:tcPr>
            <w:tcW w:type="dxa" w:w="2353"/>
            <w:shd w:val="clear" w:color="auto" w:fill="FDF3E7"/>
            <w:tcBorders>
              <w:left w:val="single" w:sz="18" w:space="0" w:color="C9A227"/>
            </w:tcBorders>
          </w:tcPr>
          <w:p>
            <w:pPr>
              <w:spacing w:after="40"/>
            </w:pPr>
            <w:r>
              <w:rPr>
                <w:rFonts w:ascii="Arial" w:hAnsi="Arial"/>
                <w:b/>
                <w:i w:val="0"/>
                <w:color w:val="7E1E28"/>
                <w:sz w:val="18"/>
              </w:rPr>
              <w:t>100% duty relief ≤ $800k (to 2028)</w:t>
            </w:r>
          </w:p>
        </w:tc>
      </w:tr>
      <w:tr>
        <w:tc>
          <w:tcPr>
            <w:tcW w:type="dxa" w:w="2353"/>
          </w:tcPr>
          <w:p>
            <w:pPr>
              <w:spacing w:after="40"/>
            </w:pPr>
            <w:r>
              <w:rPr>
                <w:rFonts w:ascii="Arial" w:hAnsi="Arial"/>
                <w:i w:val="0"/>
                <w:color w:val="2C3748"/>
                <w:sz w:val="18"/>
              </w:rPr>
              <w:t>NT</w:t>
            </w:r>
          </w:p>
        </w:tc>
        <w:tc>
          <w:tcPr>
            <w:tcW w:type="dxa" w:w="2353"/>
          </w:tcPr>
          <w:p>
            <w:pPr>
              <w:spacing w:after="40"/>
            </w:pPr>
            <w:r>
              <w:rPr>
                <w:rFonts w:ascii="Arial" w:hAnsi="Arial"/>
                <w:b/>
                <w:i w:val="0"/>
                <w:color w:val="7E1E28"/>
                <w:sz w:val="18"/>
              </w:rPr>
              <w:t>0%</w:t>
            </w:r>
          </w:p>
        </w:tc>
        <w:tc>
          <w:tcPr>
            <w:tcW w:type="dxa" w:w="2353"/>
          </w:tcPr>
          <w:p>
            <w:pPr>
              <w:spacing w:after="40"/>
            </w:pPr>
            <w:r>
              <w:rPr>
                <w:rFonts w:ascii="Arial" w:hAnsi="Arial"/>
                <w:b/>
                <w:i w:val="0"/>
                <w:color w:val="7E1E28"/>
                <w:sz w:val="18"/>
              </w:rPr>
              <w:t>0%</w:t>
            </w:r>
          </w:p>
        </w:tc>
        <w:tc>
          <w:tcPr>
            <w:tcW w:type="dxa" w:w="2353"/>
          </w:tcPr>
          <w:p>
            <w:pPr>
              <w:spacing w:after="40"/>
            </w:pPr>
            <w:r>
              <w:rPr>
                <w:rFonts w:ascii="Arial" w:hAnsi="Arial"/>
                <w:i w:val="0"/>
                <w:color w:val="2C3748"/>
                <w:sz w:val="18"/>
              </w:rPr>
              <w:t>—</w:t>
            </w:r>
          </w:p>
        </w:tc>
      </w:tr>
      <w:tr>
        <w:tc>
          <w:tcPr>
            <w:tcW w:type="dxa" w:w="2353"/>
            <w:shd w:val="clear" w:color="auto" w:fill="F8FAFC"/>
          </w:tcPr>
          <w:p>
            <w:pPr>
              <w:spacing w:after="40"/>
            </w:pPr>
            <w:r>
              <w:rPr>
                <w:rFonts w:ascii="Arial" w:hAnsi="Arial"/>
                <w:i w:val="0"/>
                <w:color w:val="2C3748"/>
                <w:sz w:val="18"/>
              </w:rPr>
              <w:t>SA</w:t>
            </w:r>
          </w:p>
        </w:tc>
        <w:tc>
          <w:tcPr>
            <w:tcW w:type="dxa" w:w="2353"/>
            <w:shd w:val="clear" w:color="auto" w:fill="F8FAFC"/>
          </w:tcPr>
          <w:p>
            <w:pPr>
              <w:spacing w:after="40"/>
            </w:pPr>
            <w:r>
              <w:rPr>
                <w:rFonts w:ascii="Arial" w:hAnsi="Arial"/>
                <w:i w:val="0"/>
                <w:color w:val="2C3748"/>
                <w:sz w:val="18"/>
              </w:rPr>
              <w:t>8%</w:t>
            </w:r>
          </w:p>
        </w:tc>
        <w:tc>
          <w:tcPr>
            <w:tcW w:type="dxa" w:w="2353"/>
            <w:shd w:val="clear" w:color="auto" w:fill="F8FAFC"/>
          </w:tcPr>
          <w:p>
            <w:pPr>
              <w:spacing w:after="40"/>
            </w:pPr>
            <w:r>
              <w:rPr>
                <w:rFonts w:ascii="Arial" w:hAnsi="Arial"/>
                <w:i w:val="0"/>
                <w:color w:val="2C3748"/>
                <w:sz w:val="18"/>
              </w:rPr>
              <w:t>4% (from 2025-26)</w:t>
            </w:r>
          </w:p>
        </w:tc>
        <w:tc>
          <w:tcPr>
            <w:tcW w:type="dxa" w:w="2353"/>
            <w:shd w:val="clear" w:color="auto" w:fill="F8FAFC"/>
          </w:tcPr>
          <w:p>
            <w:pPr>
              <w:spacing w:after="40"/>
            </w:pPr>
            <w:r>
              <w:rPr>
                <w:rFonts w:ascii="Arial" w:hAnsi="Arial"/>
                <w:i w:val="0"/>
                <w:color w:val="2C3748"/>
                <w:sz w:val="18"/>
              </w:rPr>
              <w:t>—</w:t>
            </w:r>
          </w:p>
        </w:tc>
      </w:tr>
      <w:tr>
        <w:tc>
          <w:tcPr>
            <w:tcW w:type="dxa" w:w="2353"/>
          </w:tcPr>
          <w:p>
            <w:pPr>
              <w:spacing w:after="40"/>
            </w:pPr>
            <w:r>
              <w:rPr>
                <w:rFonts w:ascii="Arial" w:hAnsi="Arial"/>
                <w:i w:val="0"/>
                <w:color w:val="2C3748"/>
                <w:sz w:val="18"/>
              </w:rPr>
              <w:t>TAS</w:t>
            </w:r>
          </w:p>
        </w:tc>
        <w:tc>
          <w:tcPr>
            <w:tcW w:type="dxa" w:w="2353"/>
          </w:tcPr>
          <w:p>
            <w:pPr>
              <w:spacing w:after="40"/>
            </w:pPr>
            <w:r>
              <w:rPr>
                <w:rFonts w:ascii="Arial" w:hAnsi="Arial"/>
                <w:i w:val="0"/>
                <w:color w:val="2C3748"/>
                <w:sz w:val="18"/>
              </w:rPr>
              <w:t>8%</w:t>
            </w:r>
          </w:p>
        </w:tc>
        <w:tc>
          <w:tcPr>
            <w:tcW w:type="dxa" w:w="2353"/>
          </w:tcPr>
          <w:p>
            <w:pPr>
              <w:spacing w:after="40"/>
            </w:pPr>
            <w:r>
              <w:rPr>
                <w:rFonts w:ascii="Arial" w:hAnsi="Arial"/>
                <w:i w:val="0"/>
                <w:color w:val="2C3748"/>
                <w:sz w:val="18"/>
              </w:rPr>
              <w:t>2%</w:t>
            </w:r>
          </w:p>
        </w:tc>
        <w:tc>
          <w:tcPr>
            <w:tcW w:type="dxa" w:w="2353"/>
          </w:tcPr>
          <w:p>
            <w:pPr>
              <w:spacing w:after="40"/>
            </w:pPr>
            <w:r>
              <w:rPr>
                <w:rFonts w:ascii="Arial" w:hAnsi="Arial"/>
                <w:i w:val="0"/>
                <w:color w:val="2C3748"/>
                <w:sz w:val="18"/>
              </w:rPr>
              <w:t>—</w:t>
            </w:r>
          </w:p>
        </w:tc>
      </w:tr>
      <w:tr>
        <w:tc>
          <w:tcPr>
            <w:tcW w:type="dxa" w:w="2353"/>
            <w:shd w:val="clear" w:color="auto" w:fill="F8FAFC"/>
          </w:tcPr>
          <w:p>
            <w:pPr>
              <w:spacing w:after="40"/>
            </w:pPr>
            <w:r>
              <w:rPr>
                <w:rFonts w:ascii="Arial" w:hAnsi="Arial"/>
                <w:i w:val="0"/>
                <w:color w:val="2C3748"/>
                <w:sz w:val="18"/>
              </w:rPr>
              <w:t>QLD</w:t>
            </w:r>
          </w:p>
        </w:tc>
        <w:tc>
          <w:tcPr>
            <w:tcW w:type="dxa" w:w="2353"/>
            <w:shd w:val="clear" w:color="auto" w:fill="F8FAFC"/>
          </w:tcPr>
          <w:p>
            <w:pPr>
              <w:spacing w:after="40"/>
            </w:pPr>
            <w:r>
              <w:rPr>
                <w:rFonts w:ascii="Arial" w:hAnsi="Arial"/>
                <w:i w:val="0"/>
                <w:color w:val="2C3748"/>
                <w:sz w:val="18"/>
              </w:rPr>
              <w:t>8%</w:t>
            </w:r>
          </w:p>
        </w:tc>
        <w:tc>
          <w:tcPr>
            <w:tcW w:type="dxa" w:w="2353"/>
            <w:shd w:val="clear" w:color="auto" w:fill="F8FAFC"/>
          </w:tcPr>
          <w:p>
            <w:pPr>
              <w:spacing w:after="40"/>
            </w:pPr>
            <w:r>
              <w:rPr>
                <w:rFonts w:ascii="Arial" w:hAnsi="Arial"/>
                <w:i w:val="0"/>
                <w:color w:val="2C3748"/>
                <w:sz w:val="18"/>
              </w:rPr>
              <w:t>3%</w:t>
            </w:r>
          </w:p>
        </w:tc>
        <w:tc>
          <w:tcPr>
            <w:tcW w:type="dxa" w:w="2353"/>
            <w:shd w:val="clear" w:color="auto" w:fill="F8FAFC"/>
          </w:tcPr>
          <w:p>
            <w:pPr>
              <w:spacing w:after="40"/>
            </w:pPr>
            <w:r>
              <w:rPr>
                <w:rFonts w:ascii="Arial" w:hAnsi="Arial"/>
                <w:i w:val="0"/>
                <w:color w:val="2C3748"/>
                <w:sz w:val="18"/>
              </w:rPr>
              <w:t>—</w:t>
            </w:r>
          </w:p>
        </w:tc>
      </w:tr>
      <w:tr>
        <w:tc>
          <w:tcPr>
            <w:tcW w:type="dxa" w:w="2353"/>
          </w:tcPr>
          <w:p>
            <w:pPr>
              <w:spacing w:after="40"/>
            </w:pPr>
            <w:r>
              <w:rPr>
                <w:rFonts w:ascii="Arial" w:hAnsi="Arial"/>
                <w:i w:val="0"/>
                <w:color w:val="2C3748"/>
                <w:sz w:val="18"/>
              </w:rPr>
              <w:t>VIC</w:t>
            </w:r>
          </w:p>
        </w:tc>
        <w:tc>
          <w:tcPr>
            <w:tcW w:type="dxa" w:w="2353"/>
          </w:tcPr>
          <w:p>
            <w:pPr>
              <w:spacing w:after="40"/>
            </w:pPr>
            <w:r>
              <w:rPr>
                <w:rFonts w:ascii="Arial" w:hAnsi="Arial"/>
                <w:i w:val="0"/>
                <w:color w:val="2C3748"/>
                <w:sz w:val="18"/>
              </w:rPr>
              <w:t>8%</w:t>
            </w:r>
          </w:p>
        </w:tc>
        <w:tc>
          <w:tcPr>
            <w:tcW w:type="dxa" w:w="2353"/>
          </w:tcPr>
          <w:p>
            <w:pPr>
              <w:spacing w:after="40"/>
            </w:pPr>
            <w:r>
              <w:rPr>
                <w:rFonts w:ascii="Arial" w:hAnsi="Arial"/>
                <w:i w:val="0"/>
                <w:color w:val="2C3748"/>
                <w:sz w:val="18"/>
              </w:rPr>
              <w:t>4% (absentee)</w:t>
            </w:r>
          </w:p>
        </w:tc>
        <w:tc>
          <w:tcPr>
            <w:tcW w:type="dxa" w:w="2353"/>
          </w:tcPr>
          <w:p>
            <w:pPr>
              <w:spacing w:after="40"/>
            </w:pPr>
            <w:r>
              <w:rPr>
                <w:rFonts w:ascii="Arial" w:hAnsi="Arial"/>
                <w:i w:val="0"/>
                <w:color w:val="2C3748"/>
                <w:sz w:val="18"/>
              </w:rPr>
              <w:t>Off-the-plan construction deduction (to Oct 2026)</w:t>
            </w:r>
          </w:p>
        </w:tc>
      </w:tr>
      <w:tr>
        <w:tc>
          <w:tcPr>
            <w:tcW w:type="dxa" w:w="2353"/>
            <w:shd w:val="clear" w:color="auto" w:fill="F8FAFC"/>
          </w:tcPr>
          <w:p>
            <w:pPr>
              <w:spacing w:after="40"/>
            </w:pPr>
            <w:r>
              <w:rPr>
                <w:rFonts w:ascii="Arial" w:hAnsi="Arial"/>
                <w:i w:val="0"/>
                <w:color w:val="2C3748"/>
                <w:sz w:val="18"/>
              </w:rPr>
              <w:t>NSW</w:t>
            </w:r>
          </w:p>
        </w:tc>
        <w:tc>
          <w:tcPr>
            <w:tcW w:type="dxa" w:w="2353"/>
            <w:shd w:val="clear" w:color="auto" w:fill="F8FAFC"/>
          </w:tcPr>
          <w:p>
            <w:pPr>
              <w:spacing w:after="40"/>
            </w:pPr>
            <w:r>
              <w:rPr>
                <w:rFonts w:ascii="Arial" w:hAnsi="Arial"/>
                <w:i w:val="0"/>
                <w:color w:val="2C3748"/>
                <w:sz w:val="18"/>
              </w:rPr>
              <w:t>9%</w:t>
            </w:r>
          </w:p>
        </w:tc>
        <w:tc>
          <w:tcPr>
            <w:tcW w:type="dxa" w:w="2353"/>
            <w:shd w:val="clear" w:color="auto" w:fill="F8FAFC"/>
          </w:tcPr>
          <w:p>
            <w:pPr>
              <w:spacing w:after="40"/>
            </w:pPr>
            <w:r>
              <w:rPr>
                <w:rFonts w:ascii="Arial" w:hAnsi="Arial"/>
                <w:i w:val="0"/>
                <w:color w:val="2C3748"/>
                <w:sz w:val="18"/>
              </w:rPr>
              <w:t>5%</w:t>
            </w:r>
          </w:p>
        </w:tc>
        <w:tc>
          <w:tcPr>
            <w:tcW w:type="dxa" w:w="2353"/>
            <w:shd w:val="clear" w:color="auto" w:fill="F8FAFC"/>
          </w:tcPr>
          <w:p>
            <w:pPr>
              <w:spacing w:after="40"/>
            </w:pPr>
            <w:r>
              <w:rPr>
                <w:rFonts w:ascii="Arial" w:hAnsi="Arial"/>
                <w:i w:val="0"/>
                <w:color w:val="2C3748"/>
                <w:sz w:val="18"/>
              </w:rPr>
              <w:t>—</w:t>
            </w:r>
          </w:p>
        </w:tc>
      </w:tr>
    </w:tbl>
    <w:p>
      <w:pPr>
        <w:spacing w:after="240" w:before="40"/>
      </w:pPr>
      <w:r>
        <w:rPr>
          <w:rFonts w:ascii="Arial" w:hAnsi="Arial"/>
          <w:b w:val="0"/>
          <w:i/>
          <w:color w:val="5B6779"/>
          <w:sz w:val="17"/>
        </w:rPr>
        <w:t>Sources: state revenue offices; verified 6 August 2026.</w:t>
      </w:r>
    </w:p>
    <w:p>
      <w:pPr>
        <w:jc w:val="center"/>
      </w:pPr>
      <w:r>
        <w:drawing>
          <wp:inline xmlns:a="http://schemas.openxmlformats.org/drawingml/2006/main" xmlns:pic="http://schemas.openxmlformats.org/drawingml/2006/picture">
            <wp:extent cx="6120000" cy="4080000"/>
            <wp:docPr id="2" name="Picture 2"/>
            <wp:cNvGraphicFramePr>
              <a:graphicFrameLocks noChangeAspect="1"/>
            </wp:cNvGraphicFramePr>
            <a:graphic>
              <a:graphicData uri="http://schemas.openxmlformats.org/drawingml/2006/picture">
                <pic:pic>
                  <pic:nvPicPr>
                    <pic:cNvPr id="0" name="raw-001.jpg"/>
                    <pic:cNvPicPr/>
                  </pic:nvPicPr>
                  <pic:blipFill>
                    <a:blip r:embed="rId12"/>
                    <a:stretch>
                      <a:fillRect/>
                    </a:stretch>
                  </pic:blipFill>
                  <pic:spPr>
                    <a:xfrm>
                      <a:off x="0" y="0"/>
                      <a:ext cx="6120000" cy="4080000"/>
                    </a:xfrm>
                    <a:prstGeom prst="rect"/>
                  </pic:spPr>
                </pic:pic>
              </a:graphicData>
            </a:graphic>
          </wp:inline>
        </w:drawing>
      </w:r>
    </w:p>
    <w:p>
      <w:pPr>
        <w:spacing w:after="240"/>
      </w:pPr>
      <w:r>
        <w:rPr>
          <w:rFonts w:ascii="Arial" w:hAnsi="Arial"/>
          <w:b/>
          <w:i w:val="0"/>
          <w:color w:val="5B6779"/>
          <w:sz w:val="17"/>
        </w:rPr>
        <w:t>Australia vs Singapore:</w:t>
      </w:r>
      <w:r>
        <w:rPr>
          <w:rFonts w:ascii="Arial" w:hAnsi="Arial"/>
          <w:b w:val="0"/>
          <w:i w:val="0"/>
          <w:color w:val="5B6779"/>
          <w:sz w:val="17"/>
        </w:rPr>
        <w:t xml:space="preserve"> the 60% ABSD differential means Australia's state surcharge environment — 0% to 9% — is lower-cost for foreign purchasers than the Singaporean alternative.</w:t>
      </w:r>
    </w:p>
    <w:p>
      <w:r>
        <w:br w:type="page"/>
      </w:r>
    </w:p>
    <w:p>
      <w:pPr>
        <w:spacing w:after="200"/>
      </w:pPr>
      <w:r>
        <w:rPr>
          <w:rFonts w:ascii="Arial" w:hAnsi="Arial"/>
          <w:b/>
          <w:i w:val="0"/>
          <w:color w:val="B02A37"/>
          <w:sz w:val="20"/>
          <w:spacing w:val="26"/>
        </w:rPr>
        <w:t>SECTION 2</w:t>
      </w:r>
    </w:p>
    <w:p>
      <w:pPr>
        <w:spacing w:after="120"/>
      </w:pPr>
      <w:r>
        <w:rPr>
          <w:rFonts w:ascii="Georgia" w:hAnsi="Georgia"/>
          <w:b/>
          <w:i w:val="0"/>
          <w:color w:val="1A2332"/>
          <w:sz w:val="40"/>
        </w:rPr>
        <w:t>The purchase pathway for foreign non-residents</w:t>
      </w:r>
    </w:p>
    <w:p>
      <w:pPr>
        <w:spacing w:after="280"/>
        <w:pBdr>
          <w:bottom w:val="single" w:sz="12" w:space="6" w:color="B02A37"/>
        </w:pBdr>
      </w:pPr>
    </w:p>
    <w:p>
      <w:pPr>
        <w:spacing w:after="160"/>
      </w:pPr>
      <w:r>
        <w:rPr>
          <w:rFonts w:ascii="Arial" w:hAnsi="Arial"/>
          <w:b w:val="0"/>
          <w:i w:val="0"/>
          <w:color w:val="5B6779"/>
          <w:sz w:val="23"/>
        </w:rPr>
        <w:t xml:space="preserve">Under the </w:t>
      </w:r>
      <w:r>
        <w:rPr>
          <w:rFonts w:ascii="Arial" w:hAnsi="Arial"/>
          <w:b w:val="0"/>
          <w:i/>
          <w:color w:val="5B6779"/>
          <w:sz w:val="23"/>
        </w:rPr>
        <w:t>Foreign Acquisitions and Takeovers Act</w:t>
      </w:r>
      <w:r>
        <w:rPr>
          <w:rFonts w:ascii="Arial" w:hAnsi="Arial"/>
          <w:b w:val="0"/>
          <w:i w:val="0"/>
          <w:color w:val="5B6779"/>
          <w:sz w:val="23"/>
        </w:rPr>
        <w:t xml:space="preserve">, foreign persons are generally prohibited from purchasing established dwellings from 1 April 2025 to 30 June 2029 (extended from an earlier 31 March 2027 expiry; ATO). For most foreign non-resident investors, </w:t>
      </w:r>
      <w:r>
        <w:rPr>
          <w:rFonts w:ascii="Arial" w:hAnsi="Arial"/>
          <w:b/>
          <w:i w:val="0"/>
          <w:color w:val="5B6779"/>
          <w:sz w:val="23"/>
        </w:rPr>
        <w:t>new dwellings represent the primary pathway available under current FIRB rules</w:t>
      </w:r>
      <w:r>
        <w:rPr>
          <w:rFonts w:ascii="Arial" w:hAnsi="Arial"/>
          <w:b w:val="0"/>
          <w:i w:val="0"/>
          <w:color w:val="5B6779"/>
          <w:sz w:val="23"/>
        </w:rPr>
        <w:t>; limited exceptions and special structures exist.</w:t>
      </w:r>
    </w:p>
    <w:p>
      <w:pPr>
        <w:spacing w:after="160"/>
      </w:pPr>
      <w:r>
        <w:rPr>
          <w:rFonts w:ascii="Arial" w:hAnsi="Arial"/>
          <w:b w:val="0"/>
          <w:i w:val="0"/>
          <w:color w:val="2C3748"/>
          <w:sz w:val="21"/>
        </w:rPr>
        <w:t>The principal pathways are:</w:t>
      </w:r>
    </w:p>
    <w:p>
      <w:pPr>
        <w:pStyle w:val="ListBullet"/>
        <w:spacing w:after="60"/>
      </w:pPr>
      <w:r>
        <w:rPr>
          <w:rFonts w:ascii="Arial" w:hAnsi="Arial"/>
          <w:b/>
          <w:i w:val="0"/>
          <w:color w:val="2C3748"/>
          <w:sz w:val="21"/>
        </w:rPr>
        <w:t>New dwellings</w:t>
      </w:r>
      <w:r>
        <w:rPr>
          <w:rFonts w:ascii="Arial" w:hAnsi="Arial"/>
          <w:b w:val="0"/>
          <w:i w:val="0"/>
          <w:color w:val="2C3748"/>
          <w:sz w:val="21"/>
        </w:rPr>
        <w:t xml:space="preserve"> — never occupied, never previously sold (off-the-plan and near-new);</w:t>
      </w:r>
    </w:p>
    <w:p>
      <w:pPr>
        <w:pStyle w:val="ListBullet"/>
        <w:spacing w:after="60"/>
      </w:pPr>
      <w:r>
        <w:rPr>
          <w:rFonts w:ascii="Arial" w:hAnsi="Arial"/>
          <w:b/>
          <w:i w:val="0"/>
          <w:color w:val="2C3748"/>
          <w:sz w:val="21"/>
        </w:rPr>
        <w:t>Vacant land with an approved development plan</w:t>
      </w:r>
      <w:r>
        <w:rPr>
          <w:rFonts w:ascii="Arial" w:hAnsi="Arial"/>
          <w:b w:val="0"/>
          <w:i w:val="0"/>
          <w:color w:val="2C3748"/>
          <w:sz w:val="21"/>
        </w:rPr>
        <w:t xml:space="preserve"> — construction must commence within 24 months;</w:t>
      </w:r>
    </w:p>
    <w:p>
      <w:pPr>
        <w:pStyle w:val="ListBullet"/>
        <w:spacing w:after="60"/>
      </w:pPr>
      <w:r>
        <w:rPr>
          <w:rFonts w:ascii="Arial" w:hAnsi="Arial"/>
          <w:b w:val="0"/>
          <w:i w:val="0"/>
          <w:color w:val="2C3748"/>
          <w:sz w:val="21"/>
        </w:rPr>
        <w:t xml:space="preserve">Purchases within developments holding </w:t>
      </w:r>
      <w:r>
        <w:rPr>
          <w:rFonts w:ascii="Arial" w:hAnsi="Arial"/>
          <w:b/>
          <w:i w:val="0"/>
          <w:color w:val="2C3748"/>
          <w:sz w:val="21"/>
        </w:rPr>
        <w:t>New/Near-New Dwelling Exemption Certificates</w:t>
      </w:r>
      <w:r>
        <w:rPr>
          <w:rFonts w:ascii="Arial" w:hAnsi="Arial"/>
          <w:b w:val="0"/>
          <w:i w:val="0"/>
          <w:color w:val="2C3748"/>
          <w:sz w:val="21"/>
        </w:rPr>
        <w:t xml:space="preserve"> (streamlined approval).</w:t>
      </w:r>
    </w:p>
    <w:p>
      <w:pPr>
        <w:spacing w:after="160"/>
      </w:pPr>
      <w:r>
        <w:rPr>
          <w:rFonts w:ascii="Arial" w:hAnsi="Arial"/>
          <w:b w:val="0"/>
          <w:i w:val="0"/>
          <w:color w:val="2C3748"/>
          <w:sz w:val="21"/>
        </w:rPr>
        <w:t xml:space="preserve">FIRB approval is a one-off application: </w:t>
      </w:r>
      <w:r>
        <w:rPr>
          <w:rFonts w:ascii="Arial" w:hAnsi="Arial"/>
          <w:b/>
          <w:i w:val="0"/>
          <w:color w:val="2C3748"/>
          <w:sz w:val="21"/>
        </w:rPr>
        <w:t>$15,600</w:t>
      </w:r>
      <w:r>
        <w:rPr>
          <w:rFonts w:ascii="Arial" w:hAnsi="Arial"/>
          <w:b w:val="0"/>
          <w:i w:val="0"/>
          <w:color w:val="2C3748"/>
          <w:sz w:val="21"/>
        </w:rPr>
        <w:t xml:space="preserve"> for a dwelling up to $1 million (2026-27, indexed from $15,100 in 2025-26), $31,300 up to $2 million, with 50% refundable if the purchase does not proceed. Eligibility under FIRB rules is case-specific — readers should confirm their position with an adviser.</w:t>
      </w:r>
    </w:p>
    <w:p>
      <w:r>
        <w:br w:type="page"/>
      </w:r>
    </w:p>
    <w:p>
      <w:pPr>
        <w:spacing w:after="200"/>
      </w:pPr>
      <w:r>
        <w:rPr>
          <w:rFonts w:ascii="Arial" w:hAnsi="Arial"/>
          <w:b/>
          <w:i w:val="0"/>
          <w:color w:val="B02A37"/>
          <w:sz w:val="20"/>
          <w:spacing w:val="26"/>
        </w:rPr>
        <w:t>SECTION 3</w:t>
      </w:r>
    </w:p>
    <w:p>
      <w:pPr>
        <w:spacing w:after="120"/>
      </w:pPr>
      <w:r>
        <w:rPr>
          <w:rFonts w:ascii="Georgia" w:hAnsi="Georgia"/>
          <w:b/>
          <w:i w:val="0"/>
          <w:color w:val="1A2332"/>
          <w:sz w:val="40"/>
        </w:rPr>
        <w:t>Scoring methodology and weightings</w:t>
      </w:r>
    </w:p>
    <w:p>
      <w:pPr>
        <w:spacing w:after="280"/>
        <w:pBdr>
          <w:bottom w:val="single" w:sz="12" w:space="6" w:color="B02A37"/>
        </w:pBdr>
      </w:pPr>
    </w:p>
    <w:p>
      <w:pPr>
        <w:spacing w:after="160"/>
      </w:pPr>
      <w:r>
        <w:rPr>
          <w:rFonts w:ascii="Arial" w:hAnsi="Arial"/>
          <w:b w:val="0"/>
          <w:i w:val="0"/>
          <w:color w:val="5B6779"/>
          <w:sz w:val="23"/>
        </w:rPr>
        <w:t>Each jurisdiction is scored across six dimensions. The weightings reflect the relative importance of each dimension for a foreign purchaser of new residential property, and are disclosed in full below so that readers can assess — and if they wish, re-weight — the framework.</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1A2332"/>
          </w:tcPr>
          <w:p>
            <w:pPr>
              <w:spacing w:after="40"/>
            </w:pPr>
            <w:r>
              <w:rPr>
                <w:rFonts w:ascii="Arial" w:hAnsi="Arial"/>
                <w:b/>
                <w:i w:val="0"/>
                <w:color w:val="FFFFFF"/>
                <w:sz w:val="17"/>
              </w:rPr>
              <w:t>#</w:t>
            </w:r>
          </w:p>
        </w:tc>
        <w:tc>
          <w:tcPr>
            <w:tcW w:type="dxa" w:w="2353"/>
            <w:shd w:val="clear" w:color="auto" w:fill="1A2332"/>
          </w:tcPr>
          <w:p>
            <w:pPr>
              <w:spacing w:after="40"/>
            </w:pPr>
            <w:r>
              <w:rPr>
                <w:rFonts w:ascii="Arial" w:hAnsi="Arial"/>
                <w:b/>
                <w:i w:val="0"/>
                <w:color w:val="FFFFFF"/>
                <w:sz w:val="17"/>
              </w:rPr>
              <w:t>Dimension</w:t>
            </w:r>
          </w:p>
        </w:tc>
        <w:tc>
          <w:tcPr>
            <w:tcW w:type="dxa" w:w="2353"/>
            <w:shd w:val="clear" w:color="auto" w:fill="1A2332"/>
          </w:tcPr>
          <w:p>
            <w:pPr>
              <w:spacing w:after="40"/>
            </w:pPr>
            <w:r>
              <w:rPr>
                <w:rFonts w:ascii="Arial" w:hAnsi="Arial"/>
                <w:b/>
                <w:i w:val="0"/>
                <w:color w:val="FFFFFF"/>
                <w:sz w:val="17"/>
              </w:rPr>
              <w:t>Weight</w:t>
            </w:r>
          </w:p>
        </w:tc>
        <w:tc>
          <w:tcPr>
            <w:tcW w:type="dxa" w:w="2353"/>
            <w:shd w:val="clear" w:color="auto" w:fill="1A2332"/>
          </w:tcPr>
          <w:p>
            <w:pPr>
              <w:spacing w:after="40"/>
            </w:pPr>
            <w:r>
              <w:rPr>
                <w:rFonts w:ascii="Arial" w:hAnsi="Arial"/>
                <w:b/>
                <w:i w:val="0"/>
                <w:color w:val="FFFFFF"/>
                <w:sz w:val="17"/>
              </w:rPr>
              <w:t>What it measures</w:t>
            </w:r>
          </w:p>
        </w:tc>
      </w:tr>
      <w:tr>
        <w:tc>
          <w:tcPr>
            <w:tcW w:type="dxa" w:w="2353"/>
          </w:tcPr>
          <w:p>
            <w:pPr>
              <w:spacing w:after="40"/>
            </w:pPr>
            <w:r>
              <w:rPr>
                <w:rFonts w:ascii="Arial" w:hAnsi="Arial"/>
                <w:i w:val="0"/>
                <w:color w:val="2C3748"/>
                <w:sz w:val="18"/>
              </w:rPr>
              <w:t>1</w:t>
            </w:r>
          </w:p>
        </w:tc>
        <w:tc>
          <w:tcPr>
            <w:tcW w:type="dxa" w:w="2353"/>
          </w:tcPr>
          <w:p>
            <w:pPr>
              <w:spacing w:after="40"/>
            </w:pPr>
            <w:r>
              <w:rPr>
                <w:rFonts w:ascii="Arial" w:hAnsi="Arial"/>
                <w:b/>
                <w:i w:val="0"/>
                <w:color w:val="2C3748"/>
                <w:sz w:val="18"/>
              </w:rPr>
              <w:t>Foreign-entry cost</w:t>
            </w:r>
          </w:p>
        </w:tc>
        <w:tc>
          <w:tcPr>
            <w:tcW w:type="dxa" w:w="2353"/>
          </w:tcPr>
          <w:p>
            <w:pPr>
              <w:spacing w:after="40"/>
            </w:pPr>
            <w:r>
              <w:rPr>
                <w:rFonts w:ascii="Arial" w:hAnsi="Arial"/>
                <w:b/>
                <w:i w:val="0"/>
                <w:color w:val="7E1E28"/>
                <w:sz w:val="18"/>
              </w:rPr>
              <w:t>30%</w:t>
            </w:r>
          </w:p>
        </w:tc>
        <w:tc>
          <w:tcPr>
            <w:tcW w:type="dxa" w:w="2353"/>
          </w:tcPr>
          <w:p>
            <w:pPr>
              <w:spacing w:after="40"/>
            </w:pPr>
            <w:r>
              <w:rPr>
                <w:rFonts w:ascii="Arial" w:hAnsi="Arial"/>
                <w:i w:val="0"/>
                <w:color w:val="2C3748"/>
                <w:sz w:val="18"/>
              </w:rPr>
              <w:t>Surcharge duty + surcharge land tax burden</w:t>
            </w:r>
          </w:p>
        </w:tc>
      </w:tr>
      <w:tr>
        <w:tc>
          <w:tcPr>
            <w:tcW w:type="dxa" w:w="2353"/>
            <w:shd w:val="clear" w:color="auto" w:fill="F8FAFC"/>
          </w:tcPr>
          <w:p>
            <w:pPr>
              <w:spacing w:after="40"/>
            </w:pPr>
            <w:r>
              <w:rPr>
                <w:rFonts w:ascii="Arial" w:hAnsi="Arial"/>
                <w:i w:val="0"/>
                <w:color w:val="2C3748"/>
                <w:sz w:val="18"/>
              </w:rPr>
              <w:t>2</w:t>
            </w:r>
          </w:p>
        </w:tc>
        <w:tc>
          <w:tcPr>
            <w:tcW w:type="dxa" w:w="2353"/>
            <w:shd w:val="clear" w:color="auto" w:fill="F8FAFC"/>
          </w:tcPr>
          <w:p>
            <w:pPr>
              <w:spacing w:after="40"/>
            </w:pPr>
            <w:r>
              <w:rPr>
                <w:rFonts w:ascii="Arial" w:hAnsi="Arial"/>
                <w:b/>
                <w:i w:val="0"/>
                <w:color w:val="2C3748"/>
                <w:sz w:val="18"/>
              </w:rPr>
              <w:t>Rental yield</w:t>
            </w:r>
          </w:p>
        </w:tc>
        <w:tc>
          <w:tcPr>
            <w:tcW w:type="dxa" w:w="2353"/>
            <w:shd w:val="clear" w:color="auto" w:fill="F8FAFC"/>
          </w:tcPr>
          <w:p>
            <w:pPr>
              <w:spacing w:after="40"/>
            </w:pPr>
            <w:r>
              <w:rPr>
                <w:rFonts w:ascii="Arial" w:hAnsi="Arial"/>
                <w:b/>
                <w:i w:val="0"/>
                <w:color w:val="7E1E28"/>
                <w:sz w:val="18"/>
              </w:rPr>
              <w:t>20%</w:t>
            </w:r>
          </w:p>
        </w:tc>
        <w:tc>
          <w:tcPr>
            <w:tcW w:type="dxa" w:w="2353"/>
            <w:shd w:val="clear" w:color="auto" w:fill="F8FAFC"/>
          </w:tcPr>
          <w:p>
            <w:pPr>
              <w:spacing w:after="40"/>
            </w:pPr>
            <w:r>
              <w:rPr>
                <w:rFonts w:ascii="Arial" w:hAnsi="Arial"/>
                <w:i w:val="0"/>
                <w:color w:val="2C3748"/>
                <w:sz w:val="18"/>
              </w:rPr>
              <w:t>Gross yield and vacancy tightness</w:t>
            </w:r>
          </w:p>
        </w:tc>
      </w:tr>
      <w:tr>
        <w:tc>
          <w:tcPr>
            <w:tcW w:type="dxa" w:w="2353"/>
          </w:tcPr>
          <w:p>
            <w:pPr>
              <w:spacing w:after="40"/>
            </w:pPr>
            <w:r>
              <w:rPr>
                <w:rFonts w:ascii="Arial" w:hAnsi="Arial"/>
                <w:i w:val="0"/>
                <w:color w:val="2C3748"/>
                <w:sz w:val="18"/>
              </w:rPr>
              <w:t>3</w:t>
            </w:r>
          </w:p>
        </w:tc>
        <w:tc>
          <w:tcPr>
            <w:tcW w:type="dxa" w:w="2353"/>
          </w:tcPr>
          <w:p>
            <w:pPr>
              <w:spacing w:after="40"/>
            </w:pPr>
            <w:r>
              <w:rPr>
                <w:rFonts w:ascii="Arial" w:hAnsi="Arial"/>
                <w:b/>
                <w:i w:val="0"/>
                <w:color w:val="2C3748"/>
                <w:sz w:val="18"/>
              </w:rPr>
              <w:t>Capital-growth outlook</w:t>
            </w:r>
          </w:p>
        </w:tc>
        <w:tc>
          <w:tcPr>
            <w:tcW w:type="dxa" w:w="2353"/>
          </w:tcPr>
          <w:p>
            <w:pPr>
              <w:spacing w:after="40"/>
            </w:pPr>
            <w:r>
              <w:rPr>
                <w:rFonts w:ascii="Arial" w:hAnsi="Arial"/>
                <w:b/>
                <w:i w:val="0"/>
                <w:color w:val="7E1E28"/>
                <w:sz w:val="18"/>
              </w:rPr>
              <w:t>20%</w:t>
            </w:r>
          </w:p>
        </w:tc>
        <w:tc>
          <w:tcPr>
            <w:tcW w:type="dxa" w:w="2353"/>
          </w:tcPr>
          <w:p>
            <w:pPr>
              <w:spacing w:after="40"/>
            </w:pPr>
            <w:r>
              <w:rPr>
                <w:rFonts w:ascii="Arial" w:hAnsi="Arial"/>
                <w:i w:val="0"/>
                <w:color w:val="2C3748"/>
                <w:sz w:val="18"/>
              </w:rPr>
              <w:t>Population growth, undersupply, pipeline</w:t>
            </w:r>
          </w:p>
        </w:tc>
      </w:tr>
      <w:tr>
        <w:tc>
          <w:tcPr>
            <w:tcW w:type="dxa" w:w="2353"/>
            <w:shd w:val="clear" w:color="auto" w:fill="F8FAFC"/>
          </w:tcPr>
          <w:p>
            <w:pPr>
              <w:spacing w:after="40"/>
            </w:pPr>
            <w:r>
              <w:rPr>
                <w:rFonts w:ascii="Arial" w:hAnsi="Arial"/>
                <w:i w:val="0"/>
                <w:color w:val="2C3748"/>
                <w:sz w:val="18"/>
              </w:rPr>
              <w:t>4</w:t>
            </w:r>
          </w:p>
        </w:tc>
        <w:tc>
          <w:tcPr>
            <w:tcW w:type="dxa" w:w="2353"/>
            <w:shd w:val="clear" w:color="auto" w:fill="F8FAFC"/>
          </w:tcPr>
          <w:p>
            <w:pPr>
              <w:spacing w:after="40"/>
            </w:pPr>
            <w:r>
              <w:rPr>
                <w:rFonts w:ascii="Arial" w:hAnsi="Arial"/>
                <w:b/>
                <w:i w:val="0"/>
                <w:color w:val="2C3748"/>
                <w:sz w:val="18"/>
              </w:rPr>
              <w:t>Liquidity and exit depth</w:t>
            </w:r>
          </w:p>
        </w:tc>
        <w:tc>
          <w:tcPr>
            <w:tcW w:type="dxa" w:w="2353"/>
            <w:shd w:val="clear" w:color="auto" w:fill="F8FAFC"/>
          </w:tcPr>
          <w:p>
            <w:pPr>
              <w:spacing w:after="40"/>
            </w:pPr>
            <w:r>
              <w:rPr>
                <w:rFonts w:ascii="Arial" w:hAnsi="Arial"/>
                <w:b/>
                <w:i w:val="0"/>
                <w:color w:val="7E1E28"/>
                <w:sz w:val="18"/>
              </w:rPr>
              <w:t>15%</w:t>
            </w:r>
          </w:p>
        </w:tc>
        <w:tc>
          <w:tcPr>
            <w:tcW w:type="dxa" w:w="2353"/>
            <w:shd w:val="clear" w:color="auto" w:fill="F8FAFC"/>
          </w:tcPr>
          <w:p>
            <w:pPr>
              <w:spacing w:after="40"/>
            </w:pPr>
            <w:r>
              <w:rPr>
                <w:rFonts w:ascii="Arial" w:hAnsi="Arial"/>
                <w:i w:val="0"/>
                <w:color w:val="2C3748"/>
                <w:sz w:val="18"/>
              </w:rPr>
              <w:t>Market size, resale depth, investor demand</w:t>
            </w:r>
          </w:p>
        </w:tc>
      </w:tr>
      <w:tr>
        <w:tc>
          <w:tcPr>
            <w:tcW w:type="dxa" w:w="2353"/>
          </w:tcPr>
          <w:p>
            <w:pPr>
              <w:spacing w:after="40"/>
            </w:pPr>
            <w:r>
              <w:rPr>
                <w:rFonts w:ascii="Arial" w:hAnsi="Arial"/>
                <w:i w:val="0"/>
                <w:color w:val="2C3748"/>
                <w:sz w:val="18"/>
              </w:rPr>
              <w:t>5</w:t>
            </w:r>
          </w:p>
        </w:tc>
        <w:tc>
          <w:tcPr>
            <w:tcW w:type="dxa" w:w="2353"/>
          </w:tcPr>
          <w:p>
            <w:pPr>
              <w:spacing w:after="40"/>
            </w:pPr>
            <w:r>
              <w:rPr>
                <w:rFonts w:ascii="Arial" w:hAnsi="Arial"/>
                <w:b/>
                <w:i w:val="0"/>
                <w:color w:val="2C3748"/>
                <w:sz w:val="18"/>
              </w:rPr>
              <w:t>New-dwelling incentives</w:t>
            </w:r>
          </w:p>
        </w:tc>
        <w:tc>
          <w:tcPr>
            <w:tcW w:type="dxa" w:w="2353"/>
          </w:tcPr>
          <w:p>
            <w:pPr>
              <w:spacing w:after="40"/>
            </w:pPr>
            <w:r>
              <w:rPr>
                <w:rFonts w:ascii="Arial" w:hAnsi="Arial"/>
                <w:b/>
                <w:i w:val="0"/>
                <w:color w:val="7E1E28"/>
                <w:sz w:val="18"/>
              </w:rPr>
              <w:t>10%</w:t>
            </w:r>
          </w:p>
        </w:tc>
        <w:tc>
          <w:tcPr>
            <w:tcW w:type="dxa" w:w="2353"/>
          </w:tcPr>
          <w:p>
            <w:pPr>
              <w:spacing w:after="40"/>
            </w:pPr>
            <w:r>
              <w:rPr>
                <w:rFonts w:ascii="Arial" w:hAnsi="Arial"/>
                <w:i w:val="0"/>
                <w:color w:val="2C3748"/>
                <w:sz w:val="18"/>
              </w:rPr>
              <w:t>Off-the-plan concessions, rebates, deferrals</w:t>
            </w:r>
          </w:p>
        </w:tc>
      </w:tr>
      <w:tr>
        <w:tc>
          <w:tcPr>
            <w:tcW w:type="dxa" w:w="2353"/>
            <w:shd w:val="clear" w:color="auto" w:fill="F8FAFC"/>
          </w:tcPr>
          <w:p>
            <w:pPr>
              <w:spacing w:after="40"/>
            </w:pPr>
            <w:r>
              <w:rPr>
                <w:rFonts w:ascii="Arial" w:hAnsi="Arial"/>
                <w:i w:val="0"/>
                <w:color w:val="2C3748"/>
                <w:sz w:val="18"/>
              </w:rPr>
              <w:t>6</w:t>
            </w:r>
          </w:p>
        </w:tc>
        <w:tc>
          <w:tcPr>
            <w:tcW w:type="dxa" w:w="2353"/>
            <w:shd w:val="clear" w:color="auto" w:fill="F8FAFC"/>
          </w:tcPr>
          <w:p>
            <w:pPr>
              <w:spacing w:after="40"/>
            </w:pPr>
            <w:r>
              <w:rPr>
                <w:rFonts w:ascii="Arial" w:hAnsi="Arial"/>
                <w:b/>
                <w:i w:val="0"/>
                <w:color w:val="2C3748"/>
                <w:sz w:val="18"/>
              </w:rPr>
              <w:t>Tax-regime simplicity</w:t>
            </w:r>
          </w:p>
        </w:tc>
        <w:tc>
          <w:tcPr>
            <w:tcW w:type="dxa" w:w="2353"/>
            <w:shd w:val="clear" w:color="auto" w:fill="F8FAFC"/>
          </w:tcPr>
          <w:p>
            <w:pPr>
              <w:spacing w:after="40"/>
            </w:pPr>
            <w:r>
              <w:rPr>
                <w:rFonts w:ascii="Arial" w:hAnsi="Arial"/>
                <w:b/>
                <w:i w:val="0"/>
                <w:color w:val="7E1E28"/>
                <w:sz w:val="18"/>
              </w:rPr>
              <w:t>5%</w:t>
            </w:r>
          </w:p>
        </w:tc>
        <w:tc>
          <w:tcPr>
            <w:tcW w:type="dxa" w:w="2353"/>
            <w:shd w:val="clear" w:color="auto" w:fill="F8FAFC"/>
          </w:tcPr>
          <w:p>
            <w:pPr>
              <w:spacing w:after="40"/>
            </w:pPr>
            <w:r>
              <w:rPr>
                <w:rFonts w:ascii="Arial" w:hAnsi="Arial"/>
                <w:i w:val="0"/>
                <w:color w:val="2C3748"/>
                <w:sz w:val="18"/>
              </w:rPr>
              <w:t>Land tax, absentee provisions, compliance burden</w:t>
            </w:r>
          </w:p>
        </w:tc>
      </w:tr>
    </w:tbl>
    <w:p>
      <w:pPr>
        <w:spacing w:after="240" w:before="40"/>
      </w:pPr>
      <w:r>
        <w:rPr>
          <w:rFonts w:ascii="Arial" w:hAnsi="Arial"/>
          <w:b w:val="0"/>
          <w:i/>
          <w:color w:val="5B6779"/>
          <w:sz w:val="17"/>
        </w:rPr>
        <w:t>Weightings are the author's judgement, disclosed for transparency. Scores are derived from the data inputs listed in the Appendix. Re-weighting these factors will change the ordering.</w:t>
      </w:r>
    </w:p>
    <w:p>
      <w:r>
        <w:br w:type="page"/>
      </w:r>
    </w:p>
    <w:p>
      <w:pPr>
        <w:spacing w:after="200"/>
      </w:pPr>
      <w:r>
        <w:rPr>
          <w:rFonts w:ascii="Arial" w:hAnsi="Arial"/>
          <w:b/>
          <w:i w:val="0"/>
          <w:color w:val="B02A37"/>
          <w:sz w:val="20"/>
          <w:spacing w:val="26"/>
        </w:rPr>
        <w:t>WESTERN AUSTRALIA</w:t>
      </w:r>
    </w:p>
    <w:p>
      <w:pPr>
        <w:spacing w:after="120"/>
      </w:pPr>
      <w:r>
        <w:rPr>
          <w:rFonts w:ascii="Georgia" w:hAnsi="Georgia"/>
          <w:b/>
          <w:i w:val="0"/>
          <w:color w:val="1A2332"/>
          <w:sz w:val="40"/>
        </w:rPr>
        <w:t>WA — highest composite score under the framework</w:t>
      </w:r>
    </w:p>
    <w:p>
      <w:pPr>
        <w:spacing w:after="280"/>
        <w:pBdr>
          <w:bottom w:val="single" w:sz="12" w:space="6" w:color="B02A37"/>
        </w:pBdr>
      </w:pPr>
    </w:p>
    <w:p>
      <w:pPr>
        <w:spacing w:after="160"/>
      </w:pPr>
      <w:r>
        <w:rPr>
          <w:rFonts w:ascii="Arial" w:hAnsi="Arial"/>
          <w:b w:val="0"/>
          <w:i w:val="0"/>
          <w:color w:val="5B6779"/>
          <w:sz w:val="23"/>
        </w:rPr>
        <w:t>Western Australia recorded the highest composite score: the strongest population-growth data in Australia combined with the most valuable state incentive for new property.</w:t>
      </w:r>
    </w:p>
    <w:tbl>
      <w:tblPr>
        <w:tblW w:type="auto" w:w="0"/>
        <w:tblLook w:firstColumn="1" w:firstRow="1" w:lastColumn="0" w:lastRow="0" w:noHBand="0" w:noVBand="1" w:val="04A0"/>
        <w:jc w:val="center"/>
        <w:tblLayout w:type="fixed"/>
      </w:tblPr>
      <w:tblGrid>
        <w:gridCol w:w="4706"/>
        <w:gridCol w:w="4706"/>
      </w:tblGrid>
      <w:tr>
        <w:tc>
          <w:tcPr>
            <w:tcW w:type="dxa" w:w="4706"/>
            <w:tcBorders>
              <w:top w:val="single" w:sz="8" w:space="0" w:color="E3E8F0"/>
              <w:bottom w:val="single" w:sz="8" w:space="0" w:color="E3E8F0"/>
              <w:left w:val="single" w:sz="8" w:space="0" w:color="E3E8F0"/>
              <w:right w:val="single" w:sz="8" w:space="0" w:color="E3E8F0"/>
            </w:tcBorders>
          </w:tcPr>
          <w:p>
            <w:pPr>
              <w:spacing w:after="0"/>
              <w:jc w:val="center"/>
            </w:pPr>
            <w:r>
              <w:drawing>
                <wp:inline xmlns:a="http://schemas.openxmlformats.org/drawingml/2006/main" xmlns:pic="http://schemas.openxmlformats.org/drawingml/2006/picture">
                  <wp:extent cx="2844000" cy="2133410"/>
                  <wp:docPr id="3" name="Picture 3"/>
                  <wp:cNvGraphicFramePr>
                    <a:graphicFrameLocks noChangeAspect="1"/>
                  </wp:cNvGraphicFramePr>
                  <a:graphic>
                    <a:graphicData uri="http://schemas.openxmlformats.org/drawingml/2006/picture">
                      <pic:pic>
                        <pic:nvPicPr>
                          <pic:cNvPr id="0" name="new-perth-skyline-kings-park-swan-river.jpg"/>
                          <pic:cNvPicPr/>
                        </pic:nvPicPr>
                        <pic:blipFill>
                          <a:blip r:embed="rId11"/>
                          <a:stretch>
                            <a:fillRect/>
                          </a:stretch>
                        </pic:blipFill>
                        <pic:spPr>
                          <a:xfrm>
                            <a:off x="0" y="0"/>
                            <a:ext cx="2844000" cy="2133410"/>
                          </a:xfrm>
                          <a:prstGeom prst="rect"/>
                        </pic:spPr>
                      </pic:pic>
                    </a:graphicData>
                  </a:graphic>
                </wp:inline>
              </w:drawing>
            </w:r>
          </w:p>
          <w:p>
            <w:pPr>
              <w:spacing w:before="120" w:after="40"/>
            </w:pPr>
            <w:r>
              <w:rPr>
                <w:rFonts w:ascii="Arial" w:hAnsi="Arial"/>
                <w:b/>
                <w:i w:val="0"/>
                <w:color w:val="B02A37"/>
                <w:sz w:val="15"/>
                <w:spacing w:val="20"/>
              </w:rPr>
              <w:t>DEMAND FUNDAMENTALS</w:t>
            </w:r>
          </w:p>
          <w:p>
            <w:pPr>
              <w:spacing w:after="60"/>
            </w:pPr>
            <w:r>
              <w:rPr>
                <w:rFonts w:ascii="Georgia" w:hAnsi="Georgia"/>
                <w:b/>
                <w:i w:val="0"/>
                <w:color w:val="1A2332"/>
                <w:sz w:val="26"/>
              </w:rPr>
              <w:t>The fastest-growing state</w:t>
            </w:r>
          </w:p>
          <w:p>
            <w:pPr>
              <w:spacing w:after="160"/>
            </w:pPr>
            <w:r>
              <w:rPr>
                <w:rFonts w:ascii="Arial" w:hAnsi="Arial"/>
                <w:b/>
                <w:i w:val="0"/>
                <w:color w:val="5B6779"/>
                <w:sz w:val="19"/>
              </w:rPr>
              <w:t>2.2% population growth</w:t>
            </w:r>
            <w:r>
              <w:rPr>
                <w:rFonts w:ascii="Arial" w:hAnsi="Arial"/>
                <w:b w:val="0"/>
                <w:i w:val="0"/>
                <w:color w:val="5B6779"/>
                <w:sz w:val="19"/>
              </w:rPr>
              <w:t xml:space="preserve"> in the year to December 2025 — the fastest of any state (ABS). Six of Australia's ten fastest-growing LGAs are in WA.</w:t>
            </w:r>
          </w:p>
        </w:tc>
        <w:tc>
          <w:tcPr>
            <w:tcW w:type="dxa" w:w="4706"/>
            <w:tcBorders>
              <w:top w:val="single" w:sz="8" w:space="0" w:color="E3E8F0"/>
              <w:bottom w:val="single" w:sz="8" w:space="0" w:color="E3E8F0"/>
              <w:left w:val="single" w:sz="8" w:space="0" w:color="E3E8F0"/>
              <w:right w:val="single" w:sz="8" w:space="0" w:color="E3E8F0"/>
            </w:tcBorders>
          </w:tcPr>
          <w:p>
            <w:pPr>
              <w:spacing w:after="0"/>
              <w:jc w:val="center"/>
            </w:pPr>
            <w:r>
              <w:drawing>
                <wp:inline xmlns:a="http://schemas.openxmlformats.org/drawingml/2006/main" xmlns:pic="http://schemas.openxmlformats.org/drawingml/2006/picture">
                  <wp:extent cx="2844000" cy="2133410"/>
                  <wp:docPr id="4" name="Picture 4"/>
                  <wp:cNvGraphicFramePr>
                    <a:graphicFrameLocks noChangeAspect="1"/>
                  </wp:cNvGraphicFramePr>
                  <a:graphic>
                    <a:graphicData uri="http://schemas.openxmlformats.org/drawingml/2006/picture">
                      <pic:pic>
                        <pic:nvPicPr>
                          <pic:cNvPr id="0" name="raw-003.jpg"/>
                          <pic:cNvPicPr/>
                        </pic:nvPicPr>
                        <pic:blipFill>
                          <a:blip r:embed="rId13"/>
                          <a:stretch>
                            <a:fillRect/>
                          </a:stretch>
                        </pic:blipFill>
                        <pic:spPr>
                          <a:xfrm>
                            <a:off x="0" y="0"/>
                            <a:ext cx="2844000" cy="2133410"/>
                          </a:xfrm>
                          <a:prstGeom prst="rect"/>
                        </pic:spPr>
                      </pic:pic>
                    </a:graphicData>
                  </a:graphic>
                </wp:inline>
              </w:drawing>
            </w:r>
          </w:p>
          <w:p>
            <w:pPr>
              <w:spacing w:before="120" w:after="40"/>
            </w:pPr>
            <w:r>
              <w:rPr>
                <w:rFonts w:ascii="Arial" w:hAnsi="Arial"/>
                <w:b/>
                <w:i w:val="0"/>
                <w:color w:val="2D6A4F"/>
                <w:sz w:val="15"/>
                <w:spacing w:val="20"/>
              </w:rPr>
              <w:t>ENTRY COST</w:t>
            </w:r>
          </w:p>
          <w:p>
            <w:pPr>
              <w:spacing w:after="60"/>
            </w:pPr>
            <w:r>
              <w:rPr>
                <w:rFonts w:ascii="Georgia" w:hAnsi="Georgia"/>
                <w:b/>
                <w:i w:val="0"/>
                <w:color w:val="1A2332"/>
                <w:sz w:val="26"/>
              </w:rPr>
              <w:t>The off-the-plan duty concession</w:t>
            </w:r>
          </w:p>
          <w:p>
            <w:pPr>
              <w:spacing w:after="160"/>
            </w:pPr>
            <w:r>
              <w:rPr>
                <w:rFonts w:ascii="Arial" w:hAnsi="Arial"/>
                <w:b/>
                <w:i w:val="0"/>
                <w:color w:val="5B6779"/>
                <w:sz w:val="19"/>
              </w:rPr>
              <w:t>100% off-the-plan duty relief</w:t>
            </w:r>
            <w:r>
              <w:rPr>
                <w:rFonts w:ascii="Arial" w:hAnsi="Arial"/>
                <w:b w:val="0"/>
                <w:i w:val="0"/>
                <w:color w:val="5B6779"/>
                <w:sz w:val="19"/>
              </w:rPr>
              <w:t xml:space="preserve"> on new dwellings ≤ $800k (capped $50k, to 30 June 2028) — $0 transfer duty at the most common price point.</w:t>
            </w:r>
          </w:p>
        </w:tc>
      </w:tr>
    </w:tbl>
    <w:p>
      <w:pPr>
        <w:spacing w:after="40"/>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1A2332"/>
          </w:tcPr>
          <w:p>
            <w:pPr>
              <w:spacing w:after="40"/>
            </w:pPr>
            <w:r>
              <w:rPr>
                <w:rFonts w:ascii="Arial" w:hAnsi="Arial"/>
                <w:b/>
                <w:i w:val="0"/>
                <w:color w:val="FFFFFF"/>
                <w:sz w:val="17"/>
              </w:rPr>
              <w:t>$700,000 new apartment, off-the-plan</w:t>
            </w:r>
          </w:p>
        </w:tc>
        <w:tc>
          <w:tcPr>
            <w:tcW w:type="dxa" w:w="2353"/>
            <w:shd w:val="clear" w:color="auto" w:fill="1A2332"/>
          </w:tcPr>
          <w:p>
            <w:pPr>
              <w:spacing w:after="40"/>
            </w:pPr>
            <w:r>
              <w:rPr>
                <w:rFonts w:ascii="Arial" w:hAnsi="Arial"/>
                <w:b/>
                <w:i w:val="0"/>
                <w:color w:val="FFFFFF"/>
                <w:sz w:val="17"/>
              </w:rPr>
              <w:t>WA</w:t>
            </w:r>
          </w:p>
        </w:tc>
        <w:tc>
          <w:tcPr>
            <w:tcW w:type="dxa" w:w="2353"/>
            <w:shd w:val="clear" w:color="auto" w:fill="1A2332"/>
          </w:tcPr>
          <w:p>
            <w:pPr>
              <w:spacing w:after="40"/>
            </w:pPr>
            <w:r>
              <w:rPr>
                <w:rFonts w:ascii="Arial" w:hAnsi="Arial"/>
                <w:b/>
                <w:i w:val="0"/>
                <w:color w:val="FFFFFF"/>
                <w:sz w:val="17"/>
              </w:rPr>
              <w:t>ACT</w:t>
            </w:r>
          </w:p>
        </w:tc>
        <w:tc>
          <w:tcPr>
            <w:tcW w:type="dxa" w:w="2353"/>
            <w:shd w:val="clear" w:color="auto" w:fill="1A2332"/>
          </w:tcPr>
          <w:p>
            <w:pPr>
              <w:spacing w:after="40"/>
            </w:pPr>
            <w:r>
              <w:rPr>
                <w:rFonts w:ascii="Arial" w:hAnsi="Arial"/>
                <w:b/>
                <w:i w:val="0"/>
                <w:color w:val="FFFFFF"/>
                <w:sz w:val="17"/>
              </w:rPr>
              <w:t>QLD (comparison)</w:t>
            </w:r>
          </w:p>
        </w:tc>
      </w:tr>
      <w:tr>
        <w:tc>
          <w:tcPr>
            <w:tcW w:type="dxa" w:w="2353"/>
          </w:tcPr>
          <w:p>
            <w:pPr>
              <w:spacing w:after="40"/>
            </w:pPr>
            <w:r>
              <w:rPr>
                <w:rFonts w:ascii="Arial" w:hAnsi="Arial"/>
                <w:i w:val="0"/>
                <w:color w:val="2C3748"/>
                <w:sz w:val="18"/>
              </w:rPr>
              <w:t>Transfer duty</w:t>
            </w:r>
          </w:p>
        </w:tc>
        <w:tc>
          <w:tcPr>
            <w:tcW w:type="dxa" w:w="2353"/>
          </w:tcPr>
          <w:p>
            <w:pPr>
              <w:spacing w:after="40"/>
            </w:pPr>
            <w:r>
              <w:rPr>
                <w:rFonts w:ascii="Arial" w:hAnsi="Arial"/>
                <w:b/>
                <w:i w:val="0"/>
                <w:color w:val="7E1E28"/>
                <w:sz w:val="18"/>
              </w:rPr>
              <w:t>$0 (100% OTP concession)</w:t>
            </w:r>
          </w:p>
        </w:tc>
        <w:tc>
          <w:tcPr>
            <w:tcW w:type="dxa" w:w="2353"/>
          </w:tcPr>
          <w:p>
            <w:pPr>
              <w:spacing w:after="40"/>
            </w:pPr>
            <w:r>
              <w:rPr>
                <w:rFonts w:ascii="Arial" w:hAnsi="Arial"/>
                <w:i w:val="0"/>
                <w:color w:val="2C3748"/>
                <w:sz w:val="18"/>
              </w:rPr>
              <w:t>~$19,300</w:t>
            </w:r>
          </w:p>
        </w:tc>
        <w:tc>
          <w:tcPr>
            <w:tcW w:type="dxa" w:w="2353"/>
          </w:tcPr>
          <w:p>
            <w:pPr>
              <w:spacing w:after="40"/>
            </w:pPr>
            <w:r>
              <w:rPr>
                <w:rFonts w:ascii="Arial" w:hAnsi="Arial"/>
                <w:i w:val="0"/>
                <w:color w:val="2C3748"/>
                <w:sz w:val="18"/>
              </w:rPr>
              <w:t>~$24,500</w:t>
            </w:r>
          </w:p>
        </w:tc>
      </w:tr>
      <w:tr>
        <w:tc>
          <w:tcPr>
            <w:tcW w:type="dxa" w:w="2353"/>
            <w:shd w:val="clear" w:color="auto" w:fill="F8FAFC"/>
          </w:tcPr>
          <w:p>
            <w:pPr>
              <w:spacing w:after="40"/>
            </w:pPr>
            <w:r>
              <w:rPr>
                <w:rFonts w:ascii="Arial" w:hAnsi="Arial"/>
                <w:i w:val="0"/>
                <w:color w:val="2C3748"/>
                <w:sz w:val="18"/>
              </w:rPr>
              <w:t>Foreign surcharge duty</w:t>
            </w:r>
          </w:p>
        </w:tc>
        <w:tc>
          <w:tcPr>
            <w:tcW w:type="dxa" w:w="2353"/>
            <w:shd w:val="clear" w:color="auto" w:fill="F8FAFC"/>
          </w:tcPr>
          <w:p>
            <w:pPr>
              <w:spacing w:after="40"/>
            </w:pPr>
            <w:r>
              <w:rPr>
                <w:rFonts w:ascii="Arial" w:hAnsi="Arial"/>
                <w:i w:val="0"/>
                <w:color w:val="2C3748"/>
                <w:sz w:val="18"/>
              </w:rPr>
              <w:t>$49,000 (7%)</w:t>
            </w:r>
          </w:p>
        </w:tc>
        <w:tc>
          <w:tcPr>
            <w:tcW w:type="dxa" w:w="2353"/>
            <w:shd w:val="clear" w:color="auto" w:fill="F8FAFC"/>
          </w:tcPr>
          <w:p>
            <w:pPr>
              <w:spacing w:after="40"/>
            </w:pPr>
            <w:r>
              <w:rPr>
                <w:rFonts w:ascii="Arial" w:hAnsi="Arial"/>
                <w:b/>
                <w:i w:val="0"/>
                <w:color w:val="7E1E28"/>
                <w:sz w:val="18"/>
              </w:rPr>
              <w:t>$0 (0%)</w:t>
            </w:r>
          </w:p>
        </w:tc>
        <w:tc>
          <w:tcPr>
            <w:tcW w:type="dxa" w:w="2353"/>
            <w:shd w:val="clear" w:color="auto" w:fill="F8FAFC"/>
          </w:tcPr>
          <w:p>
            <w:pPr>
              <w:spacing w:after="40"/>
            </w:pPr>
            <w:r>
              <w:rPr>
                <w:rFonts w:ascii="Arial" w:hAnsi="Arial"/>
                <w:i w:val="0"/>
                <w:color w:val="2C3748"/>
                <w:sz w:val="18"/>
              </w:rPr>
              <w:t>$56,000 (8%)</w:t>
            </w:r>
          </w:p>
        </w:tc>
      </w:tr>
      <w:tr>
        <w:tc>
          <w:tcPr>
            <w:tcW w:type="dxa" w:w="2353"/>
          </w:tcPr>
          <w:p>
            <w:pPr>
              <w:spacing w:after="40"/>
            </w:pPr>
            <w:r>
              <w:rPr>
                <w:rFonts w:ascii="Arial" w:hAnsi="Arial"/>
                <w:b/>
                <w:i w:val="0"/>
                <w:color w:val="2C3748"/>
                <w:sz w:val="18"/>
              </w:rPr>
              <w:t>Total state entry tax</w:t>
            </w:r>
          </w:p>
        </w:tc>
        <w:tc>
          <w:tcPr>
            <w:tcW w:type="dxa" w:w="2353"/>
          </w:tcPr>
          <w:p>
            <w:pPr>
              <w:spacing w:after="40"/>
            </w:pPr>
            <w:r>
              <w:rPr>
                <w:rFonts w:ascii="Arial" w:hAnsi="Arial"/>
                <w:b/>
                <w:i w:val="0"/>
                <w:color w:val="2C3748"/>
                <w:sz w:val="18"/>
              </w:rPr>
              <w:t>$49,000</w:t>
            </w:r>
          </w:p>
        </w:tc>
        <w:tc>
          <w:tcPr>
            <w:tcW w:type="dxa" w:w="2353"/>
          </w:tcPr>
          <w:p>
            <w:pPr>
              <w:spacing w:after="40"/>
            </w:pPr>
            <w:r>
              <w:rPr>
                <w:rFonts w:ascii="Arial" w:hAnsi="Arial"/>
                <w:b/>
                <w:i w:val="0"/>
                <w:color w:val="2C3748"/>
                <w:sz w:val="18"/>
              </w:rPr>
              <w:t>$19,300</w:t>
            </w:r>
          </w:p>
        </w:tc>
        <w:tc>
          <w:tcPr>
            <w:tcW w:type="dxa" w:w="2353"/>
          </w:tcPr>
          <w:p>
            <w:pPr>
              <w:spacing w:after="40"/>
            </w:pPr>
            <w:r>
              <w:rPr>
                <w:rFonts w:ascii="Arial" w:hAnsi="Arial"/>
                <w:b/>
                <w:i w:val="0"/>
                <w:color w:val="2C3748"/>
                <w:sz w:val="18"/>
              </w:rPr>
              <w:t>$80,500</w:t>
            </w:r>
          </w:p>
        </w:tc>
      </w:tr>
      <w:tr>
        <w:tc>
          <w:tcPr>
            <w:tcW w:type="dxa" w:w="2353"/>
            <w:shd w:val="clear" w:color="auto" w:fill="F8FAFC"/>
          </w:tcPr>
          <w:p>
            <w:pPr>
              <w:spacing w:after="40"/>
            </w:pPr>
            <w:r>
              <w:rPr>
                <w:rFonts w:ascii="Arial" w:hAnsi="Arial"/>
                <w:i w:val="0"/>
                <w:color w:val="2C3748"/>
                <w:sz w:val="18"/>
              </w:rPr>
              <w:t>Foreign land tax (annual)</w:t>
            </w:r>
          </w:p>
        </w:tc>
        <w:tc>
          <w:tcPr>
            <w:tcW w:type="dxa" w:w="2353"/>
            <w:shd w:val="clear" w:color="auto" w:fill="F8FAFC"/>
          </w:tcPr>
          <w:p>
            <w:pPr>
              <w:spacing w:after="40"/>
            </w:pPr>
            <w:r>
              <w:rPr>
                <w:rFonts w:ascii="Arial" w:hAnsi="Arial"/>
                <w:i w:val="0"/>
                <w:color w:val="2C3748"/>
                <w:sz w:val="18"/>
              </w:rPr>
              <w:t>0%</w:t>
            </w:r>
          </w:p>
        </w:tc>
        <w:tc>
          <w:tcPr>
            <w:tcW w:type="dxa" w:w="2353"/>
            <w:shd w:val="clear" w:color="auto" w:fill="F8FAFC"/>
          </w:tcPr>
          <w:p>
            <w:pPr>
              <w:spacing w:after="40"/>
            </w:pPr>
            <w:r>
              <w:rPr>
                <w:rFonts w:ascii="Arial" w:hAnsi="Arial"/>
                <w:i w:val="0"/>
                <w:color w:val="2C3748"/>
                <w:sz w:val="18"/>
              </w:rPr>
              <w:t>0%</w:t>
            </w:r>
          </w:p>
        </w:tc>
        <w:tc>
          <w:tcPr>
            <w:tcW w:type="dxa" w:w="2353"/>
            <w:shd w:val="clear" w:color="auto" w:fill="F8FAFC"/>
          </w:tcPr>
          <w:p>
            <w:pPr>
              <w:spacing w:after="40"/>
            </w:pPr>
            <w:r>
              <w:rPr>
                <w:rFonts w:ascii="Arial" w:hAnsi="Arial"/>
                <w:i w:val="0"/>
                <w:color w:val="2C3748"/>
                <w:sz w:val="18"/>
              </w:rPr>
              <w:t>3%</w:t>
            </w:r>
          </w:p>
        </w:tc>
      </w:tr>
    </w:tbl>
    <w:p>
      <w:pPr>
        <w:spacing w:after="240" w:before="40"/>
      </w:pPr>
      <w:r>
        <w:rPr>
          <w:rFonts w:ascii="Arial" w:hAnsi="Arial"/>
          <w:b w:val="0"/>
          <w:i/>
          <w:color w:val="5B6779"/>
          <w:sz w:val="17"/>
        </w:rPr>
        <w:t>WA's $0 duty outcome relies on the Off-The-Plan concession: 100% of transfer duty for new dwellings ≤ $800,000, capped at $50,000, valid 12 March 2026 – 30 June 2028, sliding to 50% between $800k–$900k. Concession rules are conditional (pre-construction contracts) and subject to legislative change — obtain independent legal and tax validation before exchange.</w:t>
      </w:r>
    </w:p>
    <w:p>
      <w:pPr>
        <w:spacing w:before="200" w:after="240"/>
        <w:shd w:val="clear" w:color="auto" w:fill="FBF5EA"/>
        <w:pBdr>
          <w:left w:val="single" w:sz="16" w:space="6" w:color="C9A227"/>
        </w:pBdr>
        <w:ind w:left="142" w:right="142"/>
      </w:pPr>
      <w:r>
        <w:rPr>
          <w:rFonts w:ascii="Arial" w:hAnsi="Arial"/>
          <w:b/>
          <w:i w:val="0"/>
          <w:color w:val="4D4428"/>
          <w:sz w:val="20"/>
        </w:rPr>
        <w:t>Considerations:</w:t>
      </w:r>
      <w:r>
        <w:rPr>
          <w:rFonts w:ascii="Arial" w:hAnsi="Arial"/>
          <w:b w:val="0"/>
          <w:i w:val="0"/>
          <w:color w:val="4D4428"/>
          <w:sz w:val="20"/>
        </w:rPr>
        <w:t xml:space="preserve"> WA's economy carries commodity-cycle exposure; capital growth has historically been more volatile than the eastern states' long-run averages; and distance from the Sydney–Melbourne corridor means a different buyer profile. The resource-driven demand base has translated into sustained migration and one of the tightest rental markets in the country (Perth vacancy ~0.6–2.0%).</w:t>
      </w:r>
    </w:p>
    <w:p>
      <w:r>
        <w:br w:type="page"/>
      </w:r>
    </w:p>
    <w:p>
      <w:pPr>
        <w:spacing w:after="200"/>
      </w:pPr>
      <w:r>
        <w:rPr>
          <w:rFonts w:ascii="Arial" w:hAnsi="Arial"/>
          <w:b/>
          <w:i w:val="0"/>
          <w:color w:val="B02A37"/>
          <w:sz w:val="20"/>
          <w:spacing w:val="26"/>
        </w:rPr>
        <w:t>AUSTRALIAN CAPITAL TERRITORY</w:t>
      </w:r>
    </w:p>
    <w:p>
      <w:pPr>
        <w:spacing w:after="120"/>
      </w:pPr>
      <w:r>
        <w:rPr>
          <w:rFonts w:ascii="Georgia" w:hAnsi="Georgia"/>
          <w:b/>
          <w:i w:val="0"/>
          <w:color w:val="1A2332"/>
          <w:sz w:val="40"/>
        </w:rPr>
        <w:t>ACT — lowest foreign-investor entry costs</w:t>
      </w:r>
    </w:p>
    <w:p>
      <w:pPr>
        <w:spacing w:after="280"/>
        <w:pBdr>
          <w:bottom w:val="single" w:sz="12" w:space="6" w:color="B02A37"/>
        </w:pBdr>
      </w:pPr>
    </w:p>
    <w:p>
      <w:pPr>
        <w:spacing w:after="160"/>
      </w:pPr>
      <w:r>
        <w:rPr>
          <w:rFonts w:ascii="Arial" w:hAnsi="Arial"/>
          <w:b w:val="0"/>
          <w:i w:val="0"/>
          <w:color w:val="5B6779"/>
          <w:sz w:val="23"/>
        </w:rPr>
        <w:t xml:space="preserve">The ACT recorded the second-highest composite score and the lowest foreign-investor entry costs: it is one of only two Australian jurisdictions with </w:t>
      </w:r>
      <w:r>
        <w:rPr>
          <w:rFonts w:ascii="Arial" w:hAnsi="Arial"/>
          <w:b/>
          <w:i w:val="0"/>
          <w:color w:val="5B6779"/>
          <w:sz w:val="23"/>
        </w:rPr>
        <w:t>zero foreign surcharges</w:t>
      </w:r>
      <w:r>
        <w:rPr>
          <w:rFonts w:ascii="Arial" w:hAnsi="Arial"/>
          <w:b w:val="0"/>
          <w:i w:val="0"/>
          <w:color w:val="5B6779"/>
          <w:sz w:val="23"/>
        </w:rPr>
        <w:t xml:space="preserve"> (0% surcharge purchaser duty, 0% surcharge land tax).</w:t>
      </w:r>
    </w:p>
    <w:tbl>
      <w:tblPr>
        <w:tblW w:type="auto" w:w="0"/>
        <w:tblLook w:firstColumn="1" w:firstRow="1" w:lastColumn="0" w:lastRow="0" w:noHBand="0" w:noVBand="1" w:val="04A0"/>
        <w:jc w:val="center"/>
        <w:tblLayout w:type="fixed"/>
      </w:tblPr>
      <w:tblGrid>
        <w:gridCol w:w="4706"/>
        <w:gridCol w:w="4706"/>
      </w:tblGrid>
      <w:tr>
        <w:tc>
          <w:tcPr>
            <w:tcW w:type="dxa" w:w="4706"/>
            <w:tcBorders>
              <w:top w:val="single" w:sz="8" w:space="0" w:color="E3E8F0"/>
              <w:bottom w:val="single" w:sz="8" w:space="0" w:color="E3E8F0"/>
              <w:left w:val="single" w:sz="8" w:space="0" w:color="E3E8F0"/>
              <w:right w:val="single" w:sz="8" w:space="0" w:color="E3E8F0"/>
            </w:tcBorders>
          </w:tcPr>
          <w:p>
            <w:pPr>
              <w:spacing w:after="0"/>
              <w:jc w:val="center"/>
            </w:pPr>
            <w:r>
              <w:drawing>
                <wp:inline xmlns:a="http://schemas.openxmlformats.org/drawingml/2006/main" xmlns:pic="http://schemas.openxmlformats.org/drawingml/2006/picture">
                  <wp:extent cx="2844000" cy="1896000"/>
                  <wp:docPr id="5" name="Picture 5"/>
                  <wp:cNvGraphicFramePr>
                    <a:graphicFrameLocks noChangeAspect="1"/>
                  </wp:cNvGraphicFramePr>
                  <a:graphic>
                    <a:graphicData uri="http://schemas.openxmlformats.org/drawingml/2006/picture">
                      <pic:pic>
                        <pic:nvPicPr>
                          <pic:cNvPr id="0" name="raw-004.jpg"/>
                          <pic:cNvPicPr/>
                        </pic:nvPicPr>
                        <pic:blipFill>
                          <a:blip r:embed="rId14"/>
                          <a:stretch>
                            <a:fillRect/>
                          </a:stretch>
                        </pic:blipFill>
                        <pic:spPr>
                          <a:xfrm>
                            <a:off x="0" y="0"/>
                            <a:ext cx="2844000" cy="1896000"/>
                          </a:xfrm>
                          <a:prstGeom prst="rect"/>
                        </pic:spPr>
                      </pic:pic>
                    </a:graphicData>
                  </a:graphic>
                </wp:inline>
              </w:drawing>
            </w:r>
          </w:p>
          <w:p>
            <w:pPr>
              <w:spacing w:before="120" w:after="40"/>
            </w:pPr>
            <w:r>
              <w:rPr>
                <w:rFonts w:ascii="Arial" w:hAnsi="Arial"/>
                <w:b/>
                <w:i w:val="0"/>
                <w:color w:val="B02A37"/>
                <w:sz w:val="15"/>
                <w:spacing w:val="20"/>
              </w:rPr>
              <w:t>DEMAND STABILITY</w:t>
            </w:r>
          </w:p>
          <w:p>
            <w:pPr>
              <w:spacing w:after="60"/>
            </w:pPr>
            <w:r>
              <w:rPr>
                <w:rFonts w:ascii="Georgia" w:hAnsi="Georgia"/>
                <w:b/>
                <w:i w:val="0"/>
                <w:color w:val="1A2332"/>
                <w:sz w:val="26"/>
              </w:rPr>
              <w:t>A government-anchored economy</w:t>
            </w:r>
          </w:p>
          <w:p>
            <w:pPr>
              <w:spacing w:after="160"/>
            </w:pPr>
            <w:r>
              <w:rPr>
                <w:rFonts w:ascii="Arial" w:hAnsi="Arial"/>
                <w:b w:val="0"/>
                <w:i w:val="0"/>
                <w:color w:val="5B6779"/>
                <w:sz w:val="19"/>
              </w:rPr>
              <w:t>Canberra's employment base is anchored by the Commonwealth public sector — a stable, counter-cyclical employer. Vacancy ~1.7% (SQM, June 2026).</w:t>
            </w:r>
          </w:p>
        </w:tc>
        <w:tc>
          <w:tcPr>
            <w:tcW w:type="dxa" w:w="4706"/>
            <w:tcBorders>
              <w:top w:val="single" w:sz="8" w:space="0" w:color="E3E8F0"/>
              <w:bottom w:val="single" w:sz="8" w:space="0" w:color="E3E8F0"/>
              <w:left w:val="single" w:sz="8" w:space="0" w:color="E3E8F0"/>
              <w:right w:val="single" w:sz="8" w:space="0" w:color="E3E8F0"/>
            </w:tcBorders>
          </w:tcPr>
          <w:p>
            <w:pPr>
              <w:spacing w:after="0"/>
              <w:jc w:val="center"/>
            </w:pPr>
            <w:r>
              <w:drawing>
                <wp:inline xmlns:a="http://schemas.openxmlformats.org/drawingml/2006/main" xmlns:pic="http://schemas.openxmlformats.org/drawingml/2006/picture">
                  <wp:extent cx="2844000" cy="1895496"/>
                  <wp:docPr id="6" name="Picture 6"/>
                  <wp:cNvGraphicFramePr>
                    <a:graphicFrameLocks noChangeAspect="1"/>
                  </wp:cNvGraphicFramePr>
                  <a:graphic>
                    <a:graphicData uri="http://schemas.openxmlformats.org/drawingml/2006/picture">
                      <pic:pic>
                        <pic:nvPicPr>
                          <pic:cNvPr id="0" name="new-canberra-skyline-australia.jpg"/>
                          <pic:cNvPicPr/>
                        </pic:nvPicPr>
                        <pic:blipFill>
                          <a:blip r:embed="rId15"/>
                          <a:stretch>
                            <a:fillRect/>
                          </a:stretch>
                        </pic:blipFill>
                        <pic:spPr>
                          <a:xfrm>
                            <a:off x="0" y="0"/>
                            <a:ext cx="2844000" cy="1895496"/>
                          </a:xfrm>
                          <a:prstGeom prst="rect"/>
                        </pic:spPr>
                      </pic:pic>
                    </a:graphicData>
                  </a:graphic>
                </wp:inline>
              </w:drawing>
            </w:r>
          </w:p>
          <w:p>
            <w:pPr>
              <w:spacing w:before="120" w:after="40"/>
            </w:pPr>
            <w:r>
              <w:rPr>
                <w:rFonts w:ascii="Arial" w:hAnsi="Arial"/>
                <w:b/>
                <w:i w:val="0"/>
                <w:color w:val="2D6A4F"/>
                <w:sz w:val="15"/>
                <w:spacing w:val="20"/>
              </w:rPr>
              <w:t>ENTRY COST</w:t>
            </w:r>
          </w:p>
          <w:p>
            <w:pPr>
              <w:spacing w:after="60"/>
            </w:pPr>
            <w:r>
              <w:rPr>
                <w:rFonts w:ascii="Georgia" w:hAnsi="Georgia"/>
                <w:b/>
                <w:i w:val="0"/>
                <w:color w:val="1A2332"/>
                <w:sz w:val="26"/>
              </w:rPr>
              <w:t>Zero-surcharge jurisdiction</w:t>
            </w:r>
          </w:p>
          <w:p>
            <w:pPr>
              <w:spacing w:after="160"/>
            </w:pPr>
            <w:r>
              <w:rPr>
                <w:rFonts w:ascii="Arial" w:hAnsi="Arial"/>
                <w:b/>
                <w:i w:val="0"/>
                <w:color w:val="5B6779"/>
                <w:sz w:val="19"/>
              </w:rPr>
              <w:t>0% surcharge duty and 0% surcharge land tax.</w:t>
            </w:r>
            <w:r>
              <w:rPr>
                <w:rFonts w:ascii="Arial" w:hAnsi="Arial"/>
                <w:b w:val="0"/>
                <w:i w:val="0"/>
                <w:color w:val="5B6779"/>
                <w:sz w:val="19"/>
              </w:rPr>
              <w:t xml:space="preserve"> On a $700,000 purchase, the ACT's entry cost is lower than WA (7%) and materially lower than NSW (9%).</w:t>
            </w:r>
          </w:p>
        </w:tc>
      </w:tr>
    </w:tbl>
    <w:p>
      <w:pPr>
        <w:spacing w:after="40"/>
      </w:pPr>
    </w:p>
    <w:p>
      <w:pPr>
        <w:spacing w:before="200" w:after="240"/>
        <w:shd w:val="clear" w:color="auto" w:fill="FBF5EA"/>
        <w:pBdr>
          <w:left w:val="single" w:sz="16" w:space="6" w:color="C9A227"/>
        </w:pBdr>
        <w:ind w:left="142" w:right="142"/>
      </w:pPr>
      <w:r>
        <w:rPr>
          <w:rFonts w:ascii="Arial" w:hAnsi="Arial"/>
          <w:b/>
          <w:i w:val="0"/>
          <w:color w:val="4D4428"/>
          <w:sz w:val="20"/>
        </w:rPr>
        <w:t>Supply considerations:</w:t>
      </w:r>
      <w:r>
        <w:rPr>
          <w:rFonts w:ascii="Arial" w:hAnsi="Arial"/>
          <w:b w:val="0"/>
          <w:i w:val="0"/>
          <w:color w:val="4D4428"/>
          <w:sz w:val="20"/>
        </w:rPr>
        <w:t xml:space="preserve"> the ACT's future apartment pipeline is substantial. HIA reports ACT dwelling commencements surged </w:t>
      </w:r>
      <w:r>
        <w:rPr>
          <w:rFonts w:ascii="Arial" w:hAnsi="Arial"/>
          <w:b/>
          <w:i w:val="0"/>
          <w:color w:val="4D4428"/>
          <w:sz w:val="20"/>
        </w:rPr>
        <w:t>71.8% in the March 2026 quarter, driven almost entirely by apartments</w:t>
      </w:r>
      <w:r>
        <w:rPr>
          <w:rFonts w:ascii="Arial" w:hAnsi="Arial"/>
          <w:b w:val="0"/>
          <w:i w:val="0"/>
          <w:color w:val="4D4428"/>
          <w:sz w:val="20"/>
        </w:rPr>
        <w:t>, and multi-unit dwellings dominate scheduled land releases under the territory's planning framework. A heavily supplied pipeline may affect short-term rental and price dynamics — site selection (location, view, quality) is a material factor.</w:t>
      </w:r>
    </w:p>
    <w:p>
      <w:r>
        <w:br w:type="page"/>
      </w:r>
    </w:p>
    <w:p>
      <w:pPr>
        <w:spacing w:after="200"/>
      </w:pPr>
      <w:r>
        <w:rPr>
          <w:rFonts w:ascii="Arial" w:hAnsi="Arial"/>
          <w:b/>
          <w:i w:val="0"/>
          <w:color w:val="B02A37"/>
          <w:sz w:val="20"/>
          <w:spacing w:val="26"/>
        </w:rPr>
        <w:t>COMPARISON</w:t>
      </w:r>
    </w:p>
    <w:p>
      <w:pPr>
        <w:spacing w:after="120"/>
      </w:pPr>
      <w:r>
        <w:rPr>
          <w:rFonts w:ascii="Georgia" w:hAnsi="Georgia"/>
          <w:b/>
          <w:i w:val="0"/>
          <w:color w:val="1A2332"/>
          <w:sz w:val="40"/>
        </w:rPr>
        <w:t>ACT and WA — side-by-side data</w:t>
      </w:r>
    </w:p>
    <w:p>
      <w:pPr>
        <w:spacing w:after="280"/>
        <w:pBdr>
          <w:bottom w:val="single" w:sz="12" w:space="6" w:color="B02A37"/>
        </w:pBdr>
      </w:pPr>
    </w:p>
    <w:tbl>
      <w:tblPr>
        <w:tblW w:type="auto" w:w="0"/>
        <w:tblLook w:firstColumn="1" w:firstRow="1" w:lastColumn="0" w:lastRow="0" w:noHBand="0" w:noVBand="1" w:val="04A0"/>
        <w:jc w:val="center"/>
        <w:tblLayout w:type="fixed"/>
      </w:tblPr>
      <w:tblGrid>
        <w:gridCol w:w="4706"/>
        <w:gridCol w:w="4706"/>
      </w:tblGrid>
      <w:tr>
        <w:tc>
          <w:tcPr>
            <w:tcW w:type="dxa" w:w="4706"/>
            <w:shd w:val="clear" w:color="auto" w:fill="FDF3E7"/>
            <w:tcBorders>
              <w:top w:val="single" w:sz="18" w:space="0" w:color="B02A37"/>
            </w:tcBorders>
          </w:tcPr>
          <w:p>
            <w:pPr>
              <w:spacing w:before="200" w:after="80"/>
            </w:pPr>
            <w:r>
              <w:rPr>
                <w:rFonts w:ascii="Georgia" w:hAnsi="Georgia"/>
                <w:b/>
                <w:i w:val="0"/>
                <w:color w:val="1A2332"/>
                <w:sz w:val="25"/>
              </w:rPr>
              <w:t>WA — highest composite score</w:t>
            </w:r>
          </w:p>
          <w:p>
            <w:pPr>
              <w:pStyle w:val="ListBullet"/>
              <w:spacing w:after="40"/>
            </w:pPr>
            <w:r>
              <w:rPr>
                <w:rFonts w:ascii="Arial" w:hAnsi="Arial"/>
                <w:b w:val="0"/>
                <w:i w:val="0"/>
                <w:color w:val="2C3748"/>
                <w:sz w:val="19"/>
              </w:rPr>
              <w:t>Foreign surcharge duty: 7%</w:t>
            </w:r>
          </w:p>
          <w:p>
            <w:pPr>
              <w:pStyle w:val="ListBullet"/>
              <w:spacing w:after="40"/>
            </w:pPr>
            <w:r>
              <w:rPr>
                <w:rFonts w:ascii="Arial" w:hAnsi="Arial"/>
                <w:b w:val="0"/>
                <w:i w:val="0"/>
                <w:color w:val="2C3748"/>
                <w:sz w:val="19"/>
              </w:rPr>
              <w:t>Foreign land tax surcharge: 0%</w:t>
            </w:r>
          </w:p>
          <w:p>
            <w:pPr>
              <w:pStyle w:val="ListBullet"/>
              <w:spacing w:after="40"/>
            </w:pPr>
            <w:r>
              <w:rPr>
                <w:rFonts w:ascii="Arial" w:hAnsi="Arial"/>
                <w:b/>
                <w:i w:val="0"/>
                <w:color w:val="2C3748"/>
                <w:sz w:val="19"/>
              </w:rPr>
              <w:t>100% off-the-plan duty relief ≤ $800k (to 2028)</w:t>
            </w:r>
          </w:p>
          <w:p>
            <w:pPr>
              <w:pStyle w:val="ListBullet"/>
              <w:spacing w:after="40"/>
            </w:pPr>
            <w:r>
              <w:rPr>
                <w:rFonts w:ascii="Arial" w:hAnsi="Arial"/>
                <w:b w:val="0"/>
                <w:i w:val="0"/>
                <w:color w:val="2C3748"/>
                <w:sz w:val="19"/>
              </w:rPr>
              <w:t>Vacancy: ~0.6–2.0% (tightest tier)</w:t>
            </w:r>
          </w:p>
          <w:p>
            <w:pPr>
              <w:pStyle w:val="ListBullet"/>
              <w:spacing w:after="40"/>
            </w:pPr>
            <w:r>
              <w:rPr>
                <w:rFonts w:ascii="Arial" w:hAnsi="Arial"/>
                <w:b w:val="0"/>
                <w:i w:val="0"/>
                <w:color w:val="2C3748"/>
                <w:sz w:val="19"/>
              </w:rPr>
              <w:t>Population growth: 2.2% — fastest in Australia</w:t>
            </w:r>
          </w:p>
          <w:p>
            <w:pPr>
              <w:pStyle w:val="ListBullet"/>
              <w:spacing w:after="40"/>
            </w:pPr>
            <w:r>
              <w:rPr>
                <w:rFonts w:ascii="Arial" w:hAnsi="Arial"/>
                <w:b w:val="0"/>
                <w:i w:val="0"/>
                <w:color w:val="2C3748"/>
                <w:sz w:val="19"/>
              </w:rPr>
              <w:t>Supply risk: moderate</w:t>
            </w:r>
          </w:p>
          <w:p>
            <w:pPr>
              <w:pStyle w:val="ListBullet"/>
              <w:spacing w:after="40"/>
            </w:pPr>
            <w:r>
              <w:rPr>
                <w:rFonts w:ascii="Arial" w:hAnsi="Arial"/>
                <w:b w:val="0"/>
                <w:i w:val="0"/>
                <w:color w:val="2C3748"/>
                <w:sz w:val="19"/>
              </w:rPr>
              <w:t>Market liquidity: deep (Perth)</w:t>
            </w:r>
          </w:p>
        </w:tc>
        <w:tc>
          <w:tcPr>
            <w:tcW w:type="dxa" w:w="4706"/>
            <w:shd w:val="clear" w:color="auto" w:fill="EAF4EE"/>
            <w:tcBorders>
              <w:top w:val="single" w:sz="18" w:space="0" w:color="2D6A4F"/>
            </w:tcBorders>
          </w:tcPr>
          <w:p>
            <w:pPr>
              <w:spacing w:before="200" w:after="80"/>
            </w:pPr>
            <w:r>
              <w:rPr>
                <w:rFonts w:ascii="Georgia" w:hAnsi="Georgia"/>
                <w:b/>
                <w:i w:val="0"/>
                <w:color w:val="1A2332"/>
                <w:sz w:val="25"/>
              </w:rPr>
              <w:t>ACT — lowest entry costs</w:t>
            </w:r>
          </w:p>
          <w:p>
            <w:pPr>
              <w:pStyle w:val="ListBullet"/>
              <w:spacing w:after="40"/>
            </w:pPr>
            <w:r>
              <w:rPr>
                <w:rFonts w:ascii="Arial" w:hAnsi="Arial"/>
                <w:b w:val="0"/>
                <w:i w:val="0"/>
                <w:color w:val="2C3748"/>
                <w:sz w:val="19"/>
              </w:rPr>
              <w:t xml:space="preserve">Foreign surcharge duty: </w:t>
            </w:r>
            <w:r>
              <w:rPr>
                <w:rFonts w:ascii="Arial" w:hAnsi="Arial"/>
                <w:b/>
                <w:i w:val="0"/>
                <w:color w:val="2C3748"/>
                <w:sz w:val="19"/>
              </w:rPr>
              <w:t>0%</w:t>
            </w:r>
          </w:p>
          <w:p>
            <w:pPr>
              <w:pStyle w:val="ListBullet"/>
              <w:spacing w:after="40"/>
            </w:pPr>
            <w:r>
              <w:rPr>
                <w:rFonts w:ascii="Arial" w:hAnsi="Arial"/>
                <w:b w:val="0"/>
                <w:i w:val="0"/>
                <w:color w:val="2C3748"/>
                <w:sz w:val="19"/>
              </w:rPr>
              <w:t xml:space="preserve">Foreign land tax surcharge: </w:t>
            </w:r>
            <w:r>
              <w:rPr>
                <w:rFonts w:ascii="Arial" w:hAnsi="Arial"/>
                <w:b/>
                <w:i w:val="0"/>
                <w:color w:val="2C3748"/>
                <w:sz w:val="19"/>
              </w:rPr>
              <w:t>0%</w:t>
            </w:r>
          </w:p>
          <w:p>
            <w:pPr>
              <w:pStyle w:val="ListBullet"/>
              <w:spacing w:after="40"/>
            </w:pPr>
            <w:r>
              <w:rPr>
                <w:rFonts w:ascii="Arial" w:hAnsi="Arial"/>
                <w:b w:val="0"/>
                <w:i w:val="0"/>
                <w:color w:val="2C3748"/>
                <w:sz w:val="19"/>
              </w:rPr>
              <w:t>Off-the-plan duty relief: none</w:t>
            </w:r>
          </w:p>
          <w:p>
            <w:pPr>
              <w:pStyle w:val="ListBullet"/>
              <w:spacing w:after="40"/>
            </w:pPr>
            <w:r>
              <w:rPr>
                <w:rFonts w:ascii="Arial" w:hAnsi="Arial"/>
                <w:b w:val="0"/>
                <w:i w:val="0"/>
                <w:color w:val="2C3748"/>
                <w:sz w:val="19"/>
              </w:rPr>
              <w:t>Vacancy: ~1.7% (tight)</w:t>
            </w:r>
          </w:p>
          <w:p>
            <w:pPr>
              <w:pStyle w:val="ListBullet"/>
              <w:spacing w:after="40"/>
            </w:pPr>
            <w:r>
              <w:rPr>
                <w:rFonts w:ascii="Arial" w:hAnsi="Arial"/>
                <w:b w:val="0"/>
                <w:i w:val="0"/>
                <w:color w:val="2C3748"/>
                <w:sz w:val="19"/>
              </w:rPr>
              <w:t>Population growth: 1.3%</w:t>
            </w:r>
          </w:p>
          <w:p>
            <w:pPr>
              <w:pStyle w:val="ListBullet"/>
              <w:spacing w:after="40"/>
            </w:pPr>
            <w:r>
              <w:rPr>
                <w:rFonts w:ascii="Arial" w:hAnsi="Arial"/>
                <w:b w:val="0"/>
                <w:i w:val="0"/>
                <w:color w:val="2C3748"/>
                <w:sz w:val="19"/>
              </w:rPr>
              <w:t>Supply risk: elevated (apartment pipeline)</w:t>
            </w:r>
          </w:p>
          <w:p>
            <w:pPr>
              <w:pStyle w:val="ListBullet"/>
              <w:spacing w:after="40"/>
            </w:pPr>
            <w:r>
              <w:rPr>
                <w:rFonts w:ascii="Arial" w:hAnsi="Arial"/>
                <w:b w:val="0"/>
                <w:i w:val="0"/>
                <w:color w:val="2C3748"/>
                <w:sz w:val="19"/>
              </w:rPr>
              <w:t>Market liquidity: thinner</w:t>
            </w:r>
          </w:p>
        </w:tc>
      </w:tr>
    </w:tbl>
    <w:p>
      <w:pPr>
        <w:spacing w:after="40"/>
      </w:pPr>
    </w:p>
    <w:p>
      <w:pPr>
        <w:spacing w:after="160"/>
      </w:pPr>
      <w:r>
        <w:rPr>
          <w:rFonts w:ascii="Arial" w:hAnsi="Arial"/>
          <w:b w:val="0"/>
          <w:i w:val="0"/>
          <w:color w:val="5B6779"/>
          <w:sz w:val="23"/>
        </w:rPr>
        <w:t>Under the framework applied, WA's higher scores on growth, yield and liquidity offset ACT's lower entry cost. A reader weighting capital preservation more heavily than growth could reasonably order them differently — the data is presented here for that assessment.</w:t>
      </w:r>
    </w:p>
    <w:p>
      <w:r>
        <w:br w:type="page"/>
      </w:r>
    </w:p>
    <w:p>
      <w:pPr>
        <w:spacing w:after="200"/>
      </w:pPr>
      <w:r>
        <w:rPr>
          <w:rFonts w:ascii="Arial" w:hAnsi="Arial"/>
          <w:b/>
          <w:i w:val="0"/>
          <w:color w:val="B02A37"/>
          <w:sz w:val="20"/>
          <w:spacing w:val="26"/>
        </w:rPr>
        <w:t>SECTION 4</w:t>
      </w:r>
    </w:p>
    <w:p>
      <w:pPr>
        <w:spacing w:after="120"/>
      </w:pPr>
      <w:r>
        <w:rPr>
          <w:rFonts w:ascii="Georgia" w:hAnsi="Georgia"/>
          <w:b/>
          <w:i w:val="0"/>
          <w:color w:val="1A2332"/>
          <w:sz w:val="40"/>
        </w:rPr>
        <w:t>Full state comparison — all jurisdictions</w:t>
      </w:r>
    </w:p>
    <w:p>
      <w:pPr>
        <w:spacing w:after="280"/>
        <w:pBdr>
          <w:bottom w:val="single" w:sz="12" w:space="6" w:color="B02A37"/>
        </w:pBdr>
      </w:pP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1A2332"/>
          </w:tcPr>
          <w:p>
            <w:pPr>
              <w:spacing w:after="40"/>
            </w:pPr>
            <w:r>
              <w:rPr>
                <w:rFonts w:ascii="Arial" w:hAnsi="Arial"/>
                <w:b/>
                <w:i w:val="0"/>
                <w:color w:val="FFFFFF"/>
                <w:sz w:val="17"/>
              </w:rPr>
              <w:t>Rank</w:t>
            </w:r>
          </w:p>
        </w:tc>
        <w:tc>
          <w:tcPr>
            <w:tcW w:type="dxa" w:w="1046"/>
            <w:shd w:val="clear" w:color="auto" w:fill="1A2332"/>
          </w:tcPr>
          <w:p>
            <w:pPr>
              <w:spacing w:after="40"/>
            </w:pPr>
            <w:r>
              <w:rPr>
                <w:rFonts w:ascii="Arial" w:hAnsi="Arial"/>
                <w:b/>
                <w:i w:val="0"/>
                <w:color w:val="FFFFFF"/>
                <w:sz w:val="17"/>
              </w:rPr>
              <w:t>Jurisdiction</w:t>
            </w:r>
          </w:p>
        </w:tc>
        <w:tc>
          <w:tcPr>
            <w:tcW w:type="dxa" w:w="1046"/>
            <w:shd w:val="clear" w:color="auto" w:fill="1A2332"/>
          </w:tcPr>
          <w:p>
            <w:pPr>
              <w:spacing w:after="40"/>
            </w:pPr>
            <w:r>
              <w:rPr>
                <w:rFonts w:ascii="Arial" w:hAnsi="Arial"/>
                <w:b/>
                <w:i w:val="0"/>
                <w:color w:val="FFFFFF"/>
                <w:sz w:val="17"/>
              </w:rPr>
              <w:t>Foreign duty</w:t>
            </w:r>
          </w:p>
        </w:tc>
        <w:tc>
          <w:tcPr>
            <w:tcW w:type="dxa" w:w="1046"/>
            <w:shd w:val="clear" w:color="auto" w:fill="1A2332"/>
          </w:tcPr>
          <w:p>
            <w:pPr>
              <w:spacing w:after="40"/>
            </w:pPr>
            <w:r>
              <w:rPr>
                <w:rFonts w:ascii="Arial" w:hAnsi="Arial"/>
                <w:b/>
                <w:i w:val="0"/>
                <w:color w:val="FFFFFF"/>
                <w:sz w:val="17"/>
              </w:rPr>
              <w:t>Foreign land tax</w:t>
            </w:r>
          </w:p>
        </w:tc>
        <w:tc>
          <w:tcPr>
            <w:tcW w:type="dxa" w:w="1046"/>
            <w:shd w:val="clear" w:color="auto" w:fill="1A2332"/>
          </w:tcPr>
          <w:p>
            <w:pPr>
              <w:spacing w:after="40"/>
            </w:pPr>
            <w:r>
              <w:rPr>
                <w:rFonts w:ascii="Arial" w:hAnsi="Arial"/>
                <w:b/>
                <w:i w:val="0"/>
                <w:color w:val="FFFFFF"/>
                <w:sz w:val="17"/>
              </w:rPr>
              <w:t>OTP incentive</w:t>
            </w:r>
          </w:p>
        </w:tc>
        <w:tc>
          <w:tcPr>
            <w:tcW w:type="dxa" w:w="1046"/>
            <w:shd w:val="clear" w:color="auto" w:fill="1A2332"/>
          </w:tcPr>
          <w:p>
            <w:pPr>
              <w:spacing w:after="40"/>
            </w:pPr>
            <w:r>
              <w:rPr>
                <w:rFonts w:ascii="Arial" w:hAnsi="Arial"/>
                <w:b/>
                <w:i w:val="0"/>
                <w:color w:val="FFFFFF"/>
                <w:sz w:val="17"/>
              </w:rPr>
              <w:t>Yield</w:t>
            </w:r>
          </w:p>
        </w:tc>
        <w:tc>
          <w:tcPr>
            <w:tcW w:type="dxa" w:w="1046"/>
            <w:shd w:val="clear" w:color="auto" w:fill="1A2332"/>
          </w:tcPr>
          <w:p>
            <w:pPr>
              <w:spacing w:after="40"/>
            </w:pPr>
            <w:r>
              <w:rPr>
                <w:rFonts w:ascii="Arial" w:hAnsi="Arial"/>
                <w:b/>
                <w:i w:val="0"/>
                <w:color w:val="FFFFFF"/>
                <w:sz w:val="17"/>
              </w:rPr>
              <w:t>Growth</w:t>
            </w:r>
          </w:p>
        </w:tc>
        <w:tc>
          <w:tcPr>
            <w:tcW w:type="dxa" w:w="1046"/>
            <w:shd w:val="clear" w:color="auto" w:fill="1A2332"/>
          </w:tcPr>
          <w:p>
            <w:pPr>
              <w:spacing w:after="40"/>
            </w:pPr>
            <w:r>
              <w:rPr>
                <w:rFonts w:ascii="Arial" w:hAnsi="Arial"/>
                <w:b/>
                <w:i w:val="0"/>
                <w:color w:val="FFFFFF"/>
                <w:sz w:val="17"/>
              </w:rPr>
              <w:t>Liquidity</w:t>
            </w:r>
          </w:p>
        </w:tc>
        <w:tc>
          <w:tcPr>
            <w:tcW w:type="dxa" w:w="1046"/>
            <w:shd w:val="clear" w:color="auto" w:fill="1A2332"/>
          </w:tcPr>
          <w:p>
            <w:pPr>
              <w:spacing w:after="40"/>
            </w:pPr>
            <w:r>
              <w:rPr>
                <w:rFonts w:ascii="Arial" w:hAnsi="Arial"/>
                <w:b/>
                <w:i w:val="0"/>
                <w:color w:val="FFFFFF"/>
                <w:sz w:val="17"/>
              </w:rPr>
              <w:t>Composite</w:t>
            </w:r>
          </w:p>
        </w:tc>
      </w:tr>
      <w:tr>
        <w:tc>
          <w:tcPr>
            <w:tcW w:type="dxa" w:w="1046"/>
            <w:shd w:val="clear" w:color="auto" w:fill="FDF3E7"/>
            <w:tcBorders>
              <w:left w:val="single" w:sz="18" w:space="0" w:color="C9A227"/>
            </w:tcBorders>
          </w:tcPr>
          <w:p>
            <w:pPr>
              <w:spacing w:after="40"/>
            </w:pPr>
            <w:r>
              <w:rPr>
                <w:rFonts w:ascii="Arial" w:hAnsi="Arial"/>
                <w:b/>
                <w:i w:val="0"/>
                <w:color w:val="2C3748"/>
                <w:sz w:val="18"/>
              </w:rPr>
              <w:t>1</w:t>
            </w:r>
          </w:p>
        </w:tc>
        <w:tc>
          <w:tcPr>
            <w:tcW w:type="dxa" w:w="1046"/>
            <w:shd w:val="clear" w:color="auto" w:fill="FDF3E7"/>
            <w:tcBorders>
              <w:left w:val="single" w:sz="18" w:space="0" w:color="C9A227"/>
            </w:tcBorders>
          </w:tcPr>
          <w:p>
            <w:pPr>
              <w:spacing w:after="40"/>
            </w:pPr>
            <w:r>
              <w:rPr>
                <w:rFonts w:ascii="Arial" w:hAnsi="Arial"/>
                <w:b/>
                <w:i w:val="0"/>
                <w:color w:val="2C3748"/>
                <w:sz w:val="18"/>
              </w:rPr>
              <w:t>WA</w:t>
            </w:r>
          </w:p>
        </w:tc>
        <w:tc>
          <w:tcPr>
            <w:tcW w:type="dxa" w:w="1046"/>
            <w:shd w:val="clear" w:color="auto" w:fill="FDF3E7"/>
            <w:tcBorders>
              <w:left w:val="single" w:sz="18" w:space="0" w:color="C9A227"/>
            </w:tcBorders>
          </w:tcPr>
          <w:p>
            <w:pPr>
              <w:spacing w:after="40"/>
            </w:pPr>
            <w:r>
              <w:rPr>
                <w:rFonts w:ascii="Arial" w:hAnsi="Arial"/>
                <w:i w:val="0"/>
                <w:color w:val="2C3748"/>
                <w:sz w:val="18"/>
              </w:rPr>
              <w:t>7%</w:t>
            </w:r>
          </w:p>
        </w:tc>
        <w:tc>
          <w:tcPr>
            <w:tcW w:type="dxa" w:w="1046"/>
            <w:shd w:val="clear" w:color="auto" w:fill="FDF3E7"/>
            <w:tcBorders>
              <w:left w:val="single" w:sz="18" w:space="0" w:color="C9A227"/>
            </w:tcBorders>
          </w:tcPr>
          <w:p>
            <w:pPr>
              <w:spacing w:after="40"/>
            </w:pPr>
            <w:r>
              <w:rPr>
                <w:rFonts w:ascii="Arial" w:hAnsi="Arial"/>
                <w:i w:val="0"/>
                <w:color w:val="2C3748"/>
                <w:sz w:val="18"/>
              </w:rPr>
              <w:t>0%</w:t>
            </w:r>
          </w:p>
        </w:tc>
        <w:tc>
          <w:tcPr>
            <w:tcW w:type="dxa" w:w="1046"/>
            <w:shd w:val="clear" w:color="auto" w:fill="FDF3E7"/>
            <w:tcBorders>
              <w:left w:val="single" w:sz="18" w:space="0" w:color="C9A227"/>
            </w:tcBorders>
          </w:tcPr>
          <w:p>
            <w:pPr>
              <w:spacing w:after="40"/>
            </w:pPr>
            <w:r>
              <w:rPr>
                <w:rFonts w:ascii="Arial" w:hAnsi="Arial"/>
                <w:b/>
                <w:i w:val="0"/>
                <w:color w:val="2C3748"/>
                <w:sz w:val="18"/>
              </w:rPr>
              <w:t>100% ≤ $800k</w:t>
            </w:r>
          </w:p>
        </w:tc>
        <w:tc>
          <w:tcPr>
            <w:tcW w:type="dxa" w:w="1046"/>
            <w:shd w:val="clear" w:color="auto" w:fill="FDF3E7"/>
            <w:tcBorders>
              <w:left w:val="single" w:sz="18" w:space="0" w:color="C9A227"/>
            </w:tcBorders>
          </w:tcPr>
          <w:p>
            <w:pPr>
              <w:spacing w:after="40"/>
            </w:pPr>
            <w:r>
              <w:rPr>
                <w:rFonts w:ascii="Arial" w:hAnsi="Arial"/>
                <w:i w:val="0"/>
                <w:color w:val="2C3748"/>
                <w:sz w:val="18"/>
              </w:rPr>
              <w:t>★★★★★</w:t>
            </w:r>
          </w:p>
        </w:tc>
        <w:tc>
          <w:tcPr>
            <w:tcW w:type="dxa" w:w="1046"/>
            <w:shd w:val="clear" w:color="auto" w:fill="FDF3E7"/>
            <w:tcBorders>
              <w:left w:val="single" w:sz="18" w:space="0" w:color="C9A227"/>
            </w:tcBorders>
          </w:tcPr>
          <w:p>
            <w:pPr>
              <w:spacing w:after="40"/>
            </w:pPr>
            <w:r>
              <w:rPr>
                <w:rFonts w:ascii="Arial" w:hAnsi="Arial"/>
                <w:i w:val="0"/>
                <w:color w:val="2C3748"/>
                <w:sz w:val="18"/>
              </w:rPr>
              <w:t>★★★★★</w:t>
            </w:r>
          </w:p>
        </w:tc>
        <w:tc>
          <w:tcPr>
            <w:tcW w:type="dxa" w:w="1046"/>
            <w:shd w:val="clear" w:color="auto" w:fill="FDF3E7"/>
            <w:tcBorders>
              <w:left w:val="single" w:sz="18" w:space="0" w:color="C9A227"/>
            </w:tcBorders>
          </w:tcPr>
          <w:p>
            <w:pPr>
              <w:spacing w:after="40"/>
            </w:pPr>
            <w:r>
              <w:rPr>
                <w:rFonts w:ascii="Arial" w:hAnsi="Arial"/>
                <w:i w:val="0"/>
                <w:color w:val="2C3748"/>
                <w:sz w:val="18"/>
              </w:rPr>
              <w:t>★★★★</w:t>
            </w:r>
          </w:p>
        </w:tc>
        <w:tc>
          <w:tcPr>
            <w:tcW w:type="dxa" w:w="1046"/>
            <w:shd w:val="clear" w:color="auto" w:fill="FDF3E7"/>
            <w:tcBorders>
              <w:left w:val="single" w:sz="18" w:space="0" w:color="C9A227"/>
            </w:tcBorders>
          </w:tcPr>
          <w:p>
            <w:pPr>
              <w:spacing w:after="40"/>
            </w:pPr>
            <w:r>
              <w:rPr>
                <w:rFonts w:ascii="Arial" w:hAnsi="Arial"/>
                <w:b/>
                <w:i w:val="0"/>
                <w:color w:val="2C3748"/>
                <w:sz w:val="18"/>
              </w:rPr>
              <w:t>Highest score</w:t>
            </w:r>
          </w:p>
        </w:tc>
      </w:tr>
      <w:tr>
        <w:tc>
          <w:tcPr>
            <w:tcW w:type="dxa" w:w="1046"/>
            <w:shd w:val="clear" w:color="auto" w:fill="EAF4EE"/>
            <w:tcBorders>
              <w:left w:val="single" w:sz="18" w:space="0" w:color="2D6A4F"/>
            </w:tcBorders>
          </w:tcPr>
          <w:p>
            <w:pPr>
              <w:spacing w:after="40"/>
            </w:pPr>
            <w:r>
              <w:rPr>
                <w:rFonts w:ascii="Arial" w:hAnsi="Arial"/>
                <w:b/>
                <w:i w:val="0"/>
                <w:color w:val="2C3748"/>
                <w:sz w:val="18"/>
              </w:rPr>
              <w:t>2</w:t>
            </w:r>
          </w:p>
        </w:tc>
        <w:tc>
          <w:tcPr>
            <w:tcW w:type="dxa" w:w="1046"/>
            <w:shd w:val="clear" w:color="auto" w:fill="EAF4EE"/>
            <w:tcBorders>
              <w:left w:val="single" w:sz="18" w:space="0" w:color="2D6A4F"/>
            </w:tcBorders>
          </w:tcPr>
          <w:p>
            <w:pPr>
              <w:spacing w:after="40"/>
            </w:pPr>
            <w:r>
              <w:rPr>
                <w:rFonts w:ascii="Arial" w:hAnsi="Arial"/>
                <w:b/>
                <w:i w:val="0"/>
                <w:color w:val="2C3748"/>
                <w:sz w:val="18"/>
              </w:rPr>
              <w:t>ACT</w:t>
            </w:r>
          </w:p>
        </w:tc>
        <w:tc>
          <w:tcPr>
            <w:tcW w:type="dxa" w:w="1046"/>
            <w:shd w:val="clear" w:color="auto" w:fill="EAF4EE"/>
            <w:tcBorders>
              <w:left w:val="single" w:sz="18" w:space="0" w:color="2D6A4F"/>
            </w:tcBorders>
          </w:tcPr>
          <w:p>
            <w:pPr>
              <w:spacing w:after="40"/>
            </w:pPr>
            <w:r>
              <w:rPr>
                <w:rFonts w:ascii="Arial" w:hAnsi="Arial"/>
                <w:b/>
                <w:i w:val="0"/>
                <w:color w:val="2C3748"/>
                <w:sz w:val="18"/>
              </w:rPr>
              <w:t>0%</w:t>
            </w:r>
          </w:p>
        </w:tc>
        <w:tc>
          <w:tcPr>
            <w:tcW w:type="dxa" w:w="1046"/>
            <w:shd w:val="clear" w:color="auto" w:fill="EAF4EE"/>
            <w:tcBorders>
              <w:left w:val="single" w:sz="18" w:space="0" w:color="2D6A4F"/>
            </w:tcBorders>
          </w:tcPr>
          <w:p>
            <w:pPr>
              <w:spacing w:after="40"/>
            </w:pPr>
            <w:r>
              <w:rPr>
                <w:rFonts w:ascii="Arial" w:hAnsi="Arial"/>
                <w:b/>
                <w:i w:val="0"/>
                <w:color w:val="2C3748"/>
                <w:sz w:val="18"/>
              </w:rPr>
              <w:t>0%</w:t>
            </w:r>
          </w:p>
        </w:tc>
        <w:tc>
          <w:tcPr>
            <w:tcW w:type="dxa" w:w="1046"/>
            <w:shd w:val="clear" w:color="auto" w:fill="EAF4EE"/>
            <w:tcBorders>
              <w:left w:val="single" w:sz="18" w:space="0" w:color="2D6A4F"/>
            </w:tcBorders>
          </w:tcPr>
          <w:p>
            <w:pPr>
              <w:spacing w:after="40"/>
            </w:pPr>
            <w:r>
              <w:rPr>
                <w:rFonts w:ascii="Arial" w:hAnsi="Arial"/>
                <w:i w:val="0"/>
                <w:color w:val="2C3748"/>
                <w:sz w:val="18"/>
              </w:rPr>
              <w:t>None</w:t>
            </w:r>
          </w:p>
        </w:tc>
        <w:tc>
          <w:tcPr>
            <w:tcW w:type="dxa" w:w="1046"/>
            <w:shd w:val="clear" w:color="auto" w:fill="EAF4EE"/>
            <w:tcBorders>
              <w:left w:val="single" w:sz="18" w:space="0" w:color="2D6A4F"/>
            </w:tcBorders>
          </w:tcPr>
          <w:p>
            <w:pPr>
              <w:spacing w:after="40"/>
            </w:pPr>
            <w:r>
              <w:rPr>
                <w:rFonts w:ascii="Arial" w:hAnsi="Arial"/>
                <w:i w:val="0"/>
                <w:color w:val="2C3748"/>
                <w:sz w:val="18"/>
              </w:rPr>
              <w:t>★★★★</w:t>
            </w:r>
          </w:p>
        </w:tc>
        <w:tc>
          <w:tcPr>
            <w:tcW w:type="dxa" w:w="1046"/>
            <w:shd w:val="clear" w:color="auto" w:fill="EAF4EE"/>
            <w:tcBorders>
              <w:left w:val="single" w:sz="18" w:space="0" w:color="2D6A4F"/>
            </w:tcBorders>
          </w:tcPr>
          <w:p>
            <w:pPr>
              <w:spacing w:after="40"/>
            </w:pPr>
            <w:r>
              <w:rPr>
                <w:rFonts w:ascii="Arial" w:hAnsi="Arial"/>
                <w:i w:val="0"/>
                <w:color w:val="2C3748"/>
                <w:sz w:val="18"/>
              </w:rPr>
              <w:t>★★★</w:t>
            </w:r>
          </w:p>
        </w:tc>
        <w:tc>
          <w:tcPr>
            <w:tcW w:type="dxa" w:w="1046"/>
            <w:shd w:val="clear" w:color="auto" w:fill="EAF4EE"/>
            <w:tcBorders>
              <w:left w:val="single" w:sz="18" w:space="0" w:color="2D6A4F"/>
            </w:tcBorders>
          </w:tcPr>
          <w:p>
            <w:pPr>
              <w:spacing w:after="40"/>
            </w:pPr>
            <w:r>
              <w:rPr>
                <w:rFonts w:ascii="Arial" w:hAnsi="Arial"/>
                <w:i w:val="0"/>
                <w:color w:val="2C3748"/>
                <w:sz w:val="18"/>
              </w:rPr>
              <w:t>★★★</w:t>
            </w:r>
          </w:p>
        </w:tc>
        <w:tc>
          <w:tcPr>
            <w:tcW w:type="dxa" w:w="1046"/>
            <w:shd w:val="clear" w:color="auto" w:fill="EAF4EE"/>
            <w:tcBorders>
              <w:left w:val="single" w:sz="18" w:space="0" w:color="2D6A4F"/>
            </w:tcBorders>
          </w:tcPr>
          <w:p>
            <w:pPr>
              <w:spacing w:after="40"/>
            </w:pPr>
            <w:r>
              <w:rPr>
                <w:rFonts w:ascii="Arial" w:hAnsi="Arial"/>
                <w:b/>
                <w:i w:val="0"/>
                <w:color w:val="2C3748"/>
                <w:sz w:val="18"/>
              </w:rPr>
              <w:t>Second-highest</w:t>
            </w:r>
          </w:p>
        </w:tc>
      </w:tr>
      <w:tr>
        <w:tc>
          <w:tcPr>
            <w:tcW w:type="dxa" w:w="1046"/>
          </w:tcPr>
          <w:p>
            <w:pPr>
              <w:spacing w:after="40"/>
            </w:pPr>
            <w:r>
              <w:rPr>
                <w:rFonts w:ascii="Arial" w:hAnsi="Arial"/>
                <w:i w:val="0"/>
                <w:color w:val="2C3748"/>
                <w:sz w:val="18"/>
              </w:rPr>
              <w:t>3</w:t>
            </w:r>
          </w:p>
        </w:tc>
        <w:tc>
          <w:tcPr>
            <w:tcW w:type="dxa" w:w="1046"/>
          </w:tcPr>
          <w:p>
            <w:pPr>
              <w:spacing w:after="40"/>
            </w:pPr>
            <w:r>
              <w:rPr>
                <w:rFonts w:ascii="Arial" w:hAnsi="Arial"/>
                <w:i w:val="0"/>
                <w:color w:val="2C3748"/>
                <w:sz w:val="18"/>
              </w:rPr>
              <w:t>QLD</w:t>
            </w:r>
          </w:p>
        </w:tc>
        <w:tc>
          <w:tcPr>
            <w:tcW w:type="dxa" w:w="1046"/>
          </w:tcPr>
          <w:p>
            <w:pPr>
              <w:spacing w:after="40"/>
            </w:pPr>
            <w:r>
              <w:rPr>
                <w:rFonts w:ascii="Arial" w:hAnsi="Arial"/>
                <w:i w:val="0"/>
                <w:color w:val="2C3748"/>
                <w:sz w:val="18"/>
              </w:rPr>
              <w:t>8%</w:t>
            </w:r>
          </w:p>
        </w:tc>
        <w:tc>
          <w:tcPr>
            <w:tcW w:type="dxa" w:w="1046"/>
          </w:tcPr>
          <w:p>
            <w:pPr>
              <w:spacing w:after="40"/>
            </w:pPr>
            <w:r>
              <w:rPr>
                <w:rFonts w:ascii="Arial" w:hAnsi="Arial"/>
                <w:i w:val="0"/>
                <w:color w:val="2C3748"/>
                <w:sz w:val="18"/>
              </w:rPr>
              <w:t>3%</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Strong on growth/liquidity; higher entry cost</w:t>
            </w:r>
          </w:p>
        </w:tc>
      </w:tr>
      <w:tr>
        <w:tc>
          <w:tcPr>
            <w:tcW w:type="dxa" w:w="1046"/>
            <w:shd w:val="clear" w:color="auto" w:fill="F8FAFC"/>
          </w:tcPr>
          <w:p>
            <w:pPr>
              <w:spacing w:after="40"/>
            </w:pPr>
            <w:r>
              <w:rPr>
                <w:rFonts w:ascii="Arial" w:hAnsi="Arial"/>
                <w:i w:val="0"/>
                <w:color w:val="2C3748"/>
                <w:sz w:val="18"/>
              </w:rPr>
              <w:t>4</w:t>
            </w:r>
          </w:p>
        </w:tc>
        <w:tc>
          <w:tcPr>
            <w:tcW w:type="dxa" w:w="1046"/>
            <w:shd w:val="clear" w:color="auto" w:fill="F8FAFC"/>
          </w:tcPr>
          <w:p>
            <w:pPr>
              <w:spacing w:after="40"/>
            </w:pPr>
            <w:r>
              <w:rPr>
                <w:rFonts w:ascii="Arial" w:hAnsi="Arial"/>
                <w:i w:val="0"/>
                <w:color w:val="2C3748"/>
                <w:sz w:val="18"/>
              </w:rPr>
              <w:t>NT</w:t>
            </w:r>
          </w:p>
        </w:tc>
        <w:tc>
          <w:tcPr>
            <w:tcW w:type="dxa" w:w="1046"/>
            <w:shd w:val="clear" w:color="auto" w:fill="F8FAFC"/>
          </w:tcPr>
          <w:p>
            <w:pPr>
              <w:spacing w:after="40"/>
            </w:pPr>
            <w:r>
              <w:rPr>
                <w:rFonts w:ascii="Arial" w:hAnsi="Arial"/>
                <w:i w:val="0"/>
                <w:color w:val="2C3748"/>
                <w:sz w:val="18"/>
              </w:rPr>
              <w:t>0%</w:t>
            </w:r>
          </w:p>
        </w:tc>
        <w:tc>
          <w:tcPr>
            <w:tcW w:type="dxa" w:w="1046"/>
            <w:shd w:val="clear" w:color="auto" w:fill="F8FAFC"/>
          </w:tcPr>
          <w:p>
            <w:pPr>
              <w:spacing w:after="40"/>
            </w:pPr>
            <w:r>
              <w:rPr>
                <w:rFonts w:ascii="Arial" w:hAnsi="Arial"/>
                <w:i w:val="0"/>
                <w:color w:val="2C3748"/>
                <w:sz w:val="18"/>
              </w:rPr>
              <w:t>0%</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Zero surcharge; thin market</w:t>
            </w:r>
          </w:p>
        </w:tc>
      </w:tr>
      <w:tr>
        <w:tc>
          <w:tcPr>
            <w:tcW w:type="dxa" w:w="1046"/>
          </w:tcPr>
          <w:p>
            <w:pPr>
              <w:spacing w:after="40"/>
            </w:pPr>
            <w:r>
              <w:rPr>
                <w:rFonts w:ascii="Arial" w:hAnsi="Arial"/>
                <w:i w:val="0"/>
                <w:color w:val="2C3748"/>
                <w:sz w:val="18"/>
              </w:rPr>
              <w:t>5</w:t>
            </w:r>
          </w:p>
        </w:tc>
        <w:tc>
          <w:tcPr>
            <w:tcW w:type="dxa" w:w="1046"/>
          </w:tcPr>
          <w:p>
            <w:pPr>
              <w:spacing w:after="40"/>
            </w:pPr>
            <w:r>
              <w:rPr>
                <w:rFonts w:ascii="Arial" w:hAnsi="Arial"/>
                <w:i w:val="0"/>
                <w:color w:val="2C3748"/>
                <w:sz w:val="18"/>
              </w:rPr>
              <w:t>SA</w:t>
            </w:r>
          </w:p>
        </w:tc>
        <w:tc>
          <w:tcPr>
            <w:tcW w:type="dxa" w:w="1046"/>
          </w:tcPr>
          <w:p>
            <w:pPr>
              <w:spacing w:after="40"/>
            </w:pPr>
            <w:r>
              <w:rPr>
                <w:rFonts w:ascii="Arial" w:hAnsi="Arial"/>
                <w:i w:val="0"/>
                <w:color w:val="2C3748"/>
                <w:sz w:val="18"/>
              </w:rPr>
              <w:t>8%</w:t>
            </w:r>
          </w:p>
        </w:tc>
        <w:tc>
          <w:tcPr>
            <w:tcW w:type="dxa" w:w="1046"/>
          </w:tcPr>
          <w:p>
            <w:pPr>
              <w:spacing w:after="40"/>
            </w:pPr>
            <w:r>
              <w:rPr>
                <w:rFonts w:ascii="Arial" w:hAnsi="Arial"/>
                <w:i w:val="0"/>
                <w:color w:val="2C3748"/>
                <w:sz w:val="18"/>
              </w:rPr>
              <w:t>4%</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Balanced; mid-tier costs</w:t>
            </w:r>
          </w:p>
        </w:tc>
      </w:tr>
      <w:tr>
        <w:tc>
          <w:tcPr>
            <w:tcW w:type="dxa" w:w="1046"/>
            <w:shd w:val="clear" w:color="auto" w:fill="F8FAFC"/>
          </w:tcPr>
          <w:p>
            <w:pPr>
              <w:spacing w:after="40"/>
            </w:pPr>
            <w:r>
              <w:rPr>
                <w:rFonts w:ascii="Arial" w:hAnsi="Arial"/>
                <w:i w:val="0"/>
                <w:color w:val="2C3748"/>
                <w:sz w:val="18"/>
              </w:rPr>
              <w:t>6</w:t>
            </w:r>
          </w:p>
        </w:tc>
        <w:tc>
          <w:tcPr>
            <w:tcW w:type="dxa" w:w="1046"/>
            <w:shd w:val="clear" w:color="auto" w:fill="F8FAFC"/>
          </w:tcPr>
          <w:p>
            <w:pPr>
              <w:spacing w:after="40"/>
            </w:pPr>
            <w:r>
              <w:rPr>
                <w:rFonts w:ascii="Arial" w:hAnsi="Arial"/>
                <w:i w:val="0"/>
                <w:color w:val="2C3748"/>
                <w:sz w:val="18"/>
              </w:rPr>
              <w:t>VIC</w:t>
            </w:r>
          </w:p>
        </w:tc>
        <w:tc>
          <w:tcPr>
            <w:tcW w:type="dxa" w:w="1046"/>
            <w:shd w:val="clear" w:color="auto" w:fill="F8FAFC"/>
          </w:tcPr>
          <w:p>
            <w:pPr>
              <w:spacing w:after="40"/>
            </w:pPr>
            <w:r>
              <w:rPr>
                <w:rFonts w:ascii="Arial" w:hAnsi="Arial"/>
                <w:i w:val="0"/>
                <w:color w:val="2C3748"/>
                <w:sz w:val="18"/>
              </w:rPr>
              <w:t>8%</w:t>
            </w:r>
          </w:p>
        </w:tc>
        <w:tc>
          <w:tcPr>
            <w:tcW w:type="dxa" w:w="1046"/>
            <w:shd w:val="clear" w:color="auto" w:fill="F8FAFC"/>
          </w:tcPr>
          <w:p>
            <w:pPr>
              <w:spacing w:after="40"/>
            </w:pPr>
            <w:r>
              <w:rPr>
                <w:rFonts w:ascii="Arial" w:hAnsi="Arial"/>
                <w:i w:val="0"/>
                <w:color w:val="2C3748"/>
                <w:sz w:val="18"/>
              </w:rPr>
              <w:t>4%</w:t>
            </w:r>
          </w:p>
        </w:tc>
        <w:tc>
          <w:tcPr>
            <w:tcW w:type="dxa" w:w="1046"/>
            <w:shd w:val="clear" w:color="auto" w:fill="F8FAFC"/>
          </w:tcPr>
          <w:p>
            <w:pPr>
              <w:spacing w:after="40"/>
            </w:pPr>
            <w:r>
              <w:rPr>
                <w:rFonts w:ascii="Arial" w:hAnsi="Arial"/>
                <w:i w:val="0"/>
                <w:color w:val="2C3748"/>
                <w:sz w:val="18"/>
              </w:rPr>
              <w:t>Construction deduction</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Deep market; high costs</w:t>
            </w:r>
          </w:p>
        </w:tc>
      </w:tr>
      <w:tr>
        <w:tc>
          <w:tcPr>
            <w:tcW w:type="dxa" w:w="1046"/>
          </w:tcPr>
          <w:p>
            <w:pPr>
              <w:spacing w:after="40"/>
            </w:pPr>
            <w:r>
              <w:rPr>
                <w:rFonts w:ascii="Arial" w:hAnsi="Arial"/>
                <w:i w:val="0"/>
                <w:color w:val="2C3748"/>
                <w:sz w:val="18"/>
              </w:rPr>
              <w:t>7</w:t>
            </w:r>
          </w:p>
        </w:tc>
        <w:tc>
          <w:tcPr>
            <w:tcW w:type="dxa" w:w="1046"/>
          </w:tcPr>
          <w:p>
            <w:pPr>
              <w:spacing w:after="40"/>
            </w:pPr>
            <w:r>
              <w:rPr>
                <w:rFonts w:ascii="Arial" w:hAnsi="Arial"/>
                <w:i w:val="0"/>
                <w:color w:val="2C3748"/>
                <w:sz w:val="18"/>
              </w:rPr>
              <w:t>TAS</w:t>
            </w:r>
          </w:p>
        </w:tc>
        <w:tc>
          <w:tcPr>
            <w:tcW w:type="dxa" w:w="1046"/>
          </w:tcPr>
          <w:p>
            <w:pPr>
              <w:spacing w:after="40"/>
            </w:pPr>
            <w:r>
              <w:rPr>
                <w:rFonts w:ascii="Arial" w:hAnsi="Arial"/>
                <w:i w:val="0"/>
                <w:color w:val="2C3748"/>
                <w:sz w:val="18"/>
              </w:rPr>
              <w:t>8%</w:t>
            </w:r>
          </w:p>
        </w:tc>
        <w:tc>
          <w:tcPr>
            <w:tcW w:type="dxa" w:w="1046"/>
          </w:tcPr>
          <w:p>
            <w:pPr>
              <w:spacing w:after="40"/>
            </w:pPr>
            <w:r>
              <w:rPr>
                <w:rFonts w:ascii="Arial" w:hAnsi="Arial"/>
                <w:i w:val="0"/>
                <w:color w:val="2C3748"/>
                <w:sz w:val="18"/>
              </w:rPr>
              <w:t>2%</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w:t>
            </w:r>
          </w:p>
        </w:tc>
        <w:tc>
          <w:tcPr>
            <w:tcW w:type="dxa" w:w="1046"/>
          </w:tcPr>
          <w:p>
            <w:pPr>
              <w:spacing w:after="40"/>
            </w:pPr>
            <w:r>
              <w:rPr>
                <w:rFonts w:ascii="Arial" w:hAnsi="Arial"/>
                <w:i w:val="0"/>
                <w:color w:val="2C3748"/>
                <w:sz w:val="18"/>
              </w:rPr>
              <w:t>Small market</w:t>
            </w:r>
          </w:p>
        </w:tc>
      </w:tr>
      <w:tr>
        <w:tc>
          <w:tcPr>
            <w:tcW w:type="dxa" w:w="1046"/>
            <w:shd w:val="clear" w:color="auto" w:fill="F8FAFC"/>
          </w:tcPr>
          <w:p>
            <w:pPr>
              <w:spacing w:after="40"/>
            </w:pPr>
            <w:r>
              <w:rPr>
                <w:rFonts w:ascii="Arial" w:hAnsi="Arial"/>
                <w:i w:val="0"/>
                <w:color w:val="2C3748"/>
                <w:sz w:val="18"/>
              </w:rPr>
              <w:t>8</w:t>
            </w:r>
          </w:p>
        </w:tc>
        <w:tc>
          <w:tcPr>
            <w:tcW w:type="dxa" w:w="1046"/>
            <w:shd w:val="clear" w:color="auto" w:fill="F8FAFC"/>
          </w:tcPr>
          <w:p>
            <w:pPr>
              <w:spacing w:after="40"/>
            </w:pPr>
            <w:r>
              <w:rPr>
                <w:rFonts w:ascii="Arial" w:hAnsi="Arial"/>
                <w:i w:val="0"/>
                <w:color w:val="2C3748"/>
                <w:sz w:val="18"/>
              </w:rPr>
              <w:t>NSW</w:t>
            </w:r>
          </w:p>
        </w:tc>
        <w:tc>
          <w:tcPr>
            <w:tcW w:type="dxa" w:w="1046"/>
            <w:shd w:val="clear" w:color="auto" w:fill="F8FAFC"/>
          </w:tcPr>
          <w:p>
            <w:pPr>
              <w:spacing w:after="40"/>
            </w:pPr>
            <w:r>
              <w:rPr>
                <w:rFonts w:ascii="Arial" w:hAnsi="Arial"/>
                <w:i w:val="0"/>
                <w:color w:val="2C3748"/>
                <w:sz w:val="18"/>
              </w:rPr>
              <w:t>9%</w:t>
            </w:r>
          </w:p>
        </w:tc>
        <w:tc>
          <w:tcPr>
            <w:tcW w:type="dxa" w:w="1046"/>
            <w:shd w:val="clear" w:color="auto" w:fill="F8FAFC"/>
          </w:tcPr>
          <w:p>
            <w:pPr>
              <w:spacing w:after="40"/>
            </w:pPr>
            <w:r>
              <w:rPr>
                <w:rFonts w:ascii="Arial" w:hAnsi="Arial"/>
                <w:i w:val="0"/>
                <w:color w:val="2C3748"/>
                <w:sz w:val="18"/>
              </w:rPr>
              <w:t>5%</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w:t>
            </w:r>
          </w:p>
        </w:tc>
        <w:tc>
          <w:tcPr>
            <w:tcW w:type="dxa" w:w="1046"/>
            <w:shd w:val="clear" w:color="auto" w:fill="F8FAFC"/>
          </w:tcPr>
          <w:p>
            <w:pPr>
              <w:spacing w:after="40"/>
            </w:pPr>
            <w:r>
              <w:rPr>
                <w:rFonts w:ascii="Arial" w:hAnsi="Arial"/>
                <w:i w:val="0"/>
                <w:color w:val="2C3748"/>
                <w:sz w:val="18"/>
              </w:rPr>
              <w:t>Highest entry cost</w:t>
            </w:r>
          </w:p>
        </w:tc>
      </w:tr>
    </w:tbl>
    <w:p>
      <w:pPr>
        <w:spacing w:after="240" w:before="40"/>
      </w:pPr>
      <w:r>
        <w:rPr>
          <w:rFonts w:ascii="Arial" w:hAnsi="Arial"/>
          <w:b w:val="0"/>
          <w:i/>
          <w:color w:val="5B6779"/>
          <w:sz w:val="17"/>
        </w:rPr>
        <w:t>Ranks reflect the Section 3 weighting framework. Star ratings are qualitative scores derived from the data inputs in the Appendix.</w:t>
      </w:r>
    </w:p>
    <w:p>
      <w:r>
        <w:br w:type="page"/>
      </w:r>
    </w:p>
    <w:p>
      <w:pPr>
        <w:spacing w:after="200"/>
      </w:pPr>
      <w:r>
        <w:rPr>
          <w:rFonts w:ascii="Arial" w:hAnsi="Arial"/>
          <w:b/>
          <w:i w:val="0"/>
          <w:color w:val="B02A37"/>
          <w:sz w:val="20"/>
          <w:spacing w:val="26"/>
        </w:rPr>
        <w:t>SECTION 5</w:t>
      </w:r>
    </w:p>
    <w:p>
      <w:pPr>
        <w:spacing w:after="120"/>
      </w:pPr>
      <w:r>
        <w:rPr>
          <w:rFonts w:ascii="Georgia" w:hAnsi="Georgia"/>
          <w:b/>
          <w:i w:val="0"/>
          <w:color w:val="1A2332"/>
          <w:sz w:val="40"/>
        </w:rPr>
        <w:t>The financing environment for foreign non-residents</w:t>
      </w:r>
    </w:p>
    <w:p>
      <w:pPr>
        <w:spacing w:after="280"/>
        <w:pBdr>
          <w:bottom w:val="single" w:sz="12" w:space="6" w:color="B02A37"/>
        </w:pBdr>
      </w:pPr>
    </w:p>
    <w:p>
      <w:pPr>
        <w:spacing w:after="160"/>
      </w:pPr>
      <w:r>
        <w:rPr>
          <w:rFonts w:ascii="Arial" w:hAnsi="Arial"/>
          <w:b w:val="0"/>
          <w:i w:val="0"/>
          <w:color w:val="5B6779"/>
          <w:sz w:val="23"/>
        </w:rPr>
        <w:t>For context on the purchase pathway, the following is general information on how Australian lenders assess foreign non-resident borrowers. Lending criteria vary between lenders and change over time; this is not an assessment of any borrower's eligibility.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A2332"/>
          </w:tcPr>
          <w:p>
            <w:pPr>
              <w:spacing w:after="40"/>
            </w:pPr>
            <w:r>
              <w:rPr>
                <w:rFonts w:ascii="Arial" w:hAnsi="Arial"/>
                <w:b/>
                <w:i w:val="0"/>
                <w:color w:val="FFFFFF"/>
                <w:sz w:val="17"/>
              </w:rPr>
              <w:t>Parameter</w:t>
            </w:r>
          </w:p>
        </w:tc>
        <w:tc>
          <w:tcPr>
            <w:tcW w:type="dxa" w:w="4706"/>
            <w:shd w:val="clear" w:color="auto" w:fill="1A2332"/>
          </w:tcPr>
          <w:p>
            <w:pPr>
              <w:spacing w:after="40"/>
            </w:pPr>
            <w:r>
              <w:rPr>
                <w:rFonts w:ascii="Arial" w:hAnsi="Arial"/>
                <w:b/>
                <w:i w:val="0"/>
                <w:color w:val="FFFFFF"/>
                <w:sz w:val="17"/>
              </w:rPr>
              <w:t>Typical position for foreign non-residents</w:t>
            </w:r>
          </w:p>
        </w:tc>
      </w:tr>
      <w:tr>
        <w:tc>
          <w:tcPr>
            <w:tcW w:type="dxa" w:w="4706"/>
          </w:tcPr>
          <w:p>
            <w:pPr>
              <w:spacing w:after="40"/>
            </w:pPr>
            <w:r>
              <w:rPr>
                <w:rFonts w:ascii="Arial" w:hAnsi="Arial"/>
                <w:b/>
                <w:i w:val="0"/>
                <w:color w:val="2C3748"/>
                <w:sz w:val="18"/>
              </w:rPr>
              <w:t>Maximum LVR</w:t>
            </w:r>
          </w:p>
        </w:tc>
        <w:tc>
          <w:tcPr>
            <w:tcW w:type="dxa" w:w="4706"/>
          </w:tcPr>
          <w:p>
            <w:pPr>
              <w:spacing w:after="40"/>
            </w:pPr>
            <w:r>
              <w:rPr>
                <w:rFonts w:ascii="Arial" w:hAnsi="Arial"/>
                <w:i w:val="0"/>
                <w:color w:val="2C3748"/>
                <w:sz w:val="18"/>
              </w:rPr>
              <w:t>60–70% via specialist non-bank lenders; some lenders offer up to 80% for borrowers on certain visa classes. LVR limits are lower than for resident borrowers.</w:t>
            </w:r>
          </w:p>
        </w:tc>
      </w:tr>
      <w:tr>
        <w:tc>
          <w:tcPr>
            <w:tcW w:type="dxa" w:w="4706"/>
            <w:shd w:val="clear" w:color="auto" w:fill="F8FAFC"/>
          </w:tcPr>
          <w:p>
            <w:pPr>
              <w:spacing w:after="40"/>
            </w:pPr>
            <w:r>
              <w:rPr>
                <w:rFonts w:ascii="Arial" w:hAnsi="Arial"/>
                <w:b/>
                <w:i w:val="0"/>
                <w:color w:val="2C3748"/>
                <w:sz w:val="18"/>
              </w:rPr>
              <w:t>Income assessment</w:t>
            </w:r>
          </w:p>
        </w:tc>
        <w:tc>
          <w:tcPr>
            <w:tcW w:type="dxa" w:w="4706"/>
            <w:shd w:val="clear" w:color="auto" w:fill="F8FAFC"/>
          </w:tcPr>
          <w:p>
            <w:pPr>
              <w:spacing w:after="40"/>
            </w:pPr>
            <w:r>
              <w:rPr>
                <w:rFonts w:ascii="Arial" w:hAnsi="Arial"/>
                <w:i w:val="0"/>
                <w:color w:val="2C3748"/>
                <w:sz w:val="18"/>
              </w:rPr>
              <w:t>Foreign-currency income is typically accepted with documented exchange-rate history; HK and Singapore income documentation is commonly accepted by many non-resident lenders. Repayment capacity is assessed at serviceability buffers.</w:t>
            </w:r>
          </w:p>
        </w:tc>
      </w:tr>
      <w:tr>
        <w:tc>
          <w:tcPr>
            <w:tcW w:type="dxa" w:w="4706"/>
          </w:tcPr>
          <w:p>
            <w:pPr>
              <w:spacing w:after="40"/>
            </w:pPr>
            <w:r>
              <w:rPr>
                <w:rFonts w:ascii="Arial" w:hAnsi="Arial"/>
                <w:b/>
                <w:i w:val="0"/>
                <w:color w:val="2C3748"/>
                <w:sz w:val="18"/>
              </w:rPr>
              <w:t>FIRB clearance</w:t>
            </w:r>
          </w:p>
        </w:tc>
        <w:tc>
          <w:tcPr>
            <w:tcW w:type="dxa" w:w="4706"/>
          </w:tcPr>
          <w:p>
            <w:pPr>
              <w:spacing w:after="40"/>
            </w:pPr>
            <w:r>
              <w:rPr>
                <w:rFonts w:ascii="Arial" w:hAnsi="Arial"/>
                <w:i w:val="0"/>
                <w:color w:val="2C3748"/>
                <w:sz w:val="18"/>
              </w:rPr>
              <w:t>Lenders generally require the FIRB approval/clearance before settlement; some require it before formal approval.</w:t>
            </w:r>
          </w:p>
        </w:tc>
      </w:tr>
      <w:tr>
        <w:tc>
          <w:tcPr>
            <w:tcW w:type="dxa" w:w="4706"/>
            <w:shd w:val="clear" w:color="auto" w:fill="F8FAFC"/>
          </w:tcPr>
          <w:p>
            <w:pPr>
              <w:spacing w:after="40"/>
            </w:pPr>
            <w:r>
              <w:rPr>
                <w:rFonts w:ascii="Arial" w:hAnsi="Arial"/>
                <w:b/>
                <w:i w:val="0"/>
                <w:color w:val="2C3748"/>
                <w:sz w:val="18"/>
              </w:rPr>
              <w:t>Source of funds / AML</w:t>
            </w:r>
          </w:p>
        </w:tc>
        <w:tc>
          <w:tcPr>
            <w:tcW w:type="dxa" w:w="4706"/>
            <w:shd w:val="clear" w:color="auto" w:fill="F8FAFC"/>
          </w:tcPr>
          <w:p>
            <w:pPr>
              <w:spacing w:after="40"/>
            </w:pPr>
            <w:r>
              <w:rPr>
                <w:rFonts w:ascii="Arial" w:hAnsi="Arial"/>
                <w:i w:val="0"/>
                <w:color w:val="2C3748"/>
                <w:sz w:val="18"/>
              </w:rPr>
              <w:t>Enhanced anti-money-laundering and source-of-funds checks apply; borrowers should expect to evidence the provenance of deposits.</w:t>
            </w:r>
          </w:p>
        </w:tc>
      </w:tr>
      <w:tr>
        <w:tc>
          <w:tcPr>
            <w:tcW w:type="dxa" w:w="4706"/>
          </w:tcPr>
          <w:p>
            <w:pPr>
              <w:spacing w:after="40"/>
            </w:pPr>
            <w:r>
              <w:rPr>
                <w:rFonts w:ascii="Arial" w:hAnsi="Arial"/>
                <w:b/>
                <w:i w:val="0"/>
                <w:color w:val="2C3748"/>
                <w:sz w:val="18"/>
              </w:rPr>
              <w:t>Product range</w:t>
            </w:r>
          </w:p>
        </w:tc>
        <w:tc>
          <w:tcPr>
            <w:tcW w:type="dxa" w:w="4706"/>
          </w:tcPr>
          <w:p>
            <w:pPr>
              <w:spacing w:after="40"/>
            </w:pPr>
            <w:r>
              <w:rPr>
                <w:rFonts w:ascii="Arial" w:hAnsi="Arial"/>
                <w:i w:val="0"/>
                <w:color w:val="2C3748"/>
                <w:sz w:val="18"/>
              </w:rPr>
              <w:t>Principal-and-interest loans predominate; interest-only periods are generally shorter than for residents.</w:t>
            </w:r>
          </w:p>
        </w:tc>
      </w:tr>
      <w:tr>
        <w:tc>
          <w:tcPr>
            <w:tcW w:type="dxa" w:w="4706"/>
            <w:shd w:val="clear" w:color="auto" w:fill="F8FAFC"/>
          </w:tcPr>
          <w:p>
            <w:pPr>
              <w:spacing w:after="40"/>
            </w:pPr>
            <w:r>
              <w:rPr>
                <w:rFonts w:ascii="Arial" w:hAnsi="Arial"/>
                <w:b/>
                <w:i w:val="0"/>
                <w:color w:val="2C3748"/>
                <w:sz w:val="18"/>
              </w:rPr>
              <w:t>Deposit</w:t>
            </w:r>
          </w:p>
        </w:tc>
        <w:tc>
          <w:tcPr>
            <w:tcW w:type="dxa" w:w="4706"/>
            <w:shd w:val="clear" w:color="auto" w:fill="F8FAFC"/>
          </w:tcPr>
          <w:p>
            <w:pPr>
              <w:spacing w:after="40"/>
            </w:pPr>
            <w:r>
              <w:rPr>
                <w:rFonts w:ascii="Arial" w:hAnsi="Arial"/>
                <w:i w:val="0"/>
                <w:color w:val="2C3748"/>
                <w:sz w:val="18"/>
              </w:rPr>
              <w:t>30–40% deposit typical (reflecting the 60–70% LVR), plus government costs as set out in this report.</w:t>
            </w:r>
          </w:p>
        </w:tc>
      </w:tr>
    </w:tbl>
    <w:p>
      <w:pPr>
        <w:spacing w:after="240" w:before="40"/>
      </w:pPr>
      <w:r>
        <w:rPr>
          <w:rFonts w:ascii="Arial" w:hAnsi="Arial"/>
          <w:b w:val="0"/>
          <w:i/>
          <w:color w:val="5B6779"/>
          <w:sz w:val="17"/>
        </w:rPr>
        <w:t>General market information only; not credit assistance. Confirm current criteria with a licensed lender or broker before relying on any figure.</w:t>
      </w:r>
    </w:p>
    <w:p>
      <w:r>
        <w:br w:type="page"/>
      </w:r>
    </w:p>
    <w:p>
      <w:pPr>
        <w:spacing w:after="200"/>
      </w:pPr>
      <w:r>
        <w:rPr>
          <w:rFonts w:ascii="Arial" w:hAnsi="Arial"/>
          <w:b/>
          <w:i w:val="0"/>
          <w:color w:val="B02A37"/>
          <w:sz w:val="20"/>
          <w:spacing w:val="26"/>
        </w:rPr>
        <w:t>SECTION 6</w:t>
      </w:r>
    </w:p>
    <w:p>
      <w:pPr>
        <w:spacing w:after="120"/>
      </w:pPr>
      <w:r>
        <w:rPr>
          <w:rFonts w:ascii="Georgia" w:hAnsi="Georgia"/>
          <w:b/>
          <w:i w:val="0"/>
          <w:color w:val="1A2332"/>
          <w:sz w:val="40"/>
        </w:rPr>
        <w:t>Risks, taxes and compliance obligations</w:t>
      </w:r>
    </w:p>
    <w:p>
      <w:pPr>
        <w:spacing w:after="280"/>
        <w:pBdr>
          <w:bottom w:val="single" w:sz="12" w:space="6" w:color="B02A37"/>
        </w:pBdr>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A2332"/>
          </w:tcPr>
          <w:p>
            <w:pPr>
              <w:spacing w:after="40"/>
            </w:pPr>
            <w:r>
              <w:rPr>
                <w:rFonts w:ascii="Arial" w:hAnsi="Arial"/>
                <w:b/>
                <w:i w:val="0"/>
                <w:color w:val="FFFFFF"/>
                <w:sz w:val="17"/>
              </w:rPr>
              <w:t>Item</w:t>
            </w:r>
          </w:p>
        </w:tc>
        <w:tc>
          <w:tcPr>
            <w:tcW w:type="dxa" w:w="4706"/>
            <w:shd w:val="clear" w:color="auto" w:fill="1A2332"/>
          </w:tcPr>
          <w:p>
            <w:pPr>
              <w:spacing w:after="40"/>
            </w:pPr>
            <w:r>
              <w:rPr>
                <w:rFonts w:ascii="Arial" w:hAnsi="Arial"/>
                <w:b/>
                <w:i w:val="0"/>
                <w:color w:val="FFFFFF"/>
                <w:sz w:val="17"/>
              </w:rPr>
              <w:t>Detail</w:t>
            </w:r>
          </w:p>
        </w:tc>
      </w:tr>
      <w:tr>
        <w:tc>
          <w:tcPr>
            <w:tcW w:type="dxa" w:w="4706"/>
          </w:tcPr>
          <w:p>
            <w:pPr>
              <w:spacing w:after="40"/>
            </w:pPr>
            <w:r>
              <w:rPr>
                <w:rFonts w:ascii="Arial" w:hAnsi="Arial"/>
                <w:b/>
                <w:i w:val="0"/>
                <w:color w:val="2C3748"/>
                <w:sz w:val="18"/>
              </w:rPr>
              <w:t>FIRB application fee</w:t>
            </w:r>
          </w:p>
        </w:tc>
        <w:tc>
          <w:tcPr>
            <w:tcW w:type="dxa" w:w="4706"/>
          </w:tcPr>
          <w:p>
            <w:pPr>
              <w:spacing w:after="40"/>
            </w:pPr>
            <w:r>
              <w:rPr>
                <w:rFonts w:ascii="Arial" w:hAnsi="Arial"/>
                <w:i w:val="0"/>
                <w:color w:val="2C3748"/>
                <w:sz w:val="18"/>
              </w:rPr>
              <w:t>$15,600 (≤ $1M, 2026-27) — one-off; 50% refundable if the purchase does not proceed.</w:t>
            </w:r>
          </w:p>
        </w:tc>
      </w:tr>
      <w:tr>
        <w:tc>
          <w:tcPr>
            <w:tcW w:type="dxa" w:w="4706"/>
            <w:shd w:val="clear" w:color="auto" w:fill="F8FAFC"/>
          </w:tcPr>
          <w:p>
            <w:pPr>
              <w:spacing w:after="40"/>
            </w:pPr>
            <w:r>
              <w:rPr>
                <w:rFonts w:ascii="Arial" w:hAnsi="Arial"/>
                <w:b/>
                <w:i w:val="0"/>
                <w:color w:val="2C3748"/>
                <w:sz w:val="18"/>
              </w:rPr>
              <w:t>Vacancy fee</w:t>
            </w:r>
          </w:p>
        </w:tc>
        <w:tc>
          <w:tcPr>
            <w:tcW w:type="dxa" w:w="4706"/>
            <w:shd w:val="clear" w:color="auto" w:fill="F8FAFC"/>
          </w:tcPr>
          <w:p>
            <w:pPr>
              <w:spacing w:after="40"/>
            </w:pPr>
            <w:r>
              <w:rPr>
                <w:rFonts w:ascii="Arial" w:hAnsi="Arial"/>
                <w:b/>
                <w:i w:val="0"/>
                <w:color w:val="2C3748"/>
                <w:sz w:val="18"/>
              </w:rPr>
              <w:t>If a foreign-owned dwelling is vacant (or not genuinely available for rent) more than 183 days a year, an annual fee of double the FIRB application fee applies.</w:t>
            </w:r>
          </w:p>
        </w:tc>
      </w:tr>
      <w:tr>
        <w:tc>
          <w:tcPr>
            <w:tcW w:type="dxa" w:w="4706"/>
          </w:tcPr>
          <w:p>
            <w:pPr>
              <w:spacing w:after="40"/>
            </w:pPr>
            <w:r>
              <w:rPr>
                <w:rFonts w:ascii="Arial" w:hAnsi="Arial"/>
                <w:b/>
                <w:i w:val="0"/>
                <w:color w:val="2C3748"/>
                <w:sz w:val="18"/>
              </w:rPr>
              <w:t>Capital gains tax</w:t>
            </w:r>
          </w:p>
        </w:tc>
        <w:tc>
          <w:tcPr>
            <w:tcW w:type="dxa" w:w="4706"/>
          </w:tcPr>
          <w:p>
            <w:pPr>
              <w:spacing w:after="40"/>
            </w:pPr>
            <w:r>
              <w:rPr>
                <w:rFonts w:ascii="Arial" w:hAnsi="Arial"/>
                <w:b/>
                <w:i w:val="0"/>
                <w:color w:val="2C3748"/>
                <w:sz w:val="18"/>
              </w:rPr>
              <w:t>Foreign residents are ineligible for the 50% CGT discount. A 15% Foreign Resident Capital Gains Withholding applies at settlement — a creditable prepayment, not an additional tax.</w:t>
            </w:r>
          </w:p>
        </w:tc>
      </w:tr>
      <w:tr>
        <w:tc>
          <w:tcPr>
            <w:tcW w:type="dxa" w:w="4706"/>
            <w:shd w:val="clear" w:color="auto" w:fill="F8FAFC"/>
          </w:tcPr>
          <w:p>
            <w:pPr>
              <w:spacing w:after="40"/>
            </w:pPr>
            <w:r>
              <w:rPr>
                <w:rFonts w:ascii="Arial" w:hAnsi="Arial"/>
                <w:b/>
                <w:i w:val="0"/>
                <w:color w:val="2C3748"/>
                <w:sz w:val="18"/>
              </w:rPr>
              <w:t>Income tax</w:t>
            </w:r>
          </w:p>
        </w:tc>
        <w:tc>
          <w:tcPr>
            <w:tcW w:type="dxa" w:w="4706"/>
            <w:shd w:val="clear" w:color="auto" w:fill="F8FAFC"/>
          </w:tcPr>
          <w:p>
            <w:pPr>
              <w:spacing w:after="40"/>
            </w:pPr>
            <w:r>
              <w:rPr>
                <w:rFonts w:ascii="Arial" w:hAnsi="Arial"/>
                <w:i w:val="0"/>
                <w:color w:val="2C3748"/>
                <w:sz w:val="18"/>
              </w:rPr>
              <w:t>Rental income is taxed at non-resident marginal rates (~30–45%); negative gearing is permitted, with losses offsetting Australian-sourced income. New builds may support Division 43 capital-works deductions (2.5%/yr) and plant-and-equipment depreciation claims — tax outcomes depend on individual circumstances and are a matter for a qualified tax adviser.</w:t>
            </w:r>
          </w:p>
        </w:tc>
      </w:tr>
      <w:tr>
        <w:tc>
          <w:tcPr>
            <w:tcW w:type="dxa" w:w="4706"/>
          </w:tcPr>
          <w:p>
            <w:pPr>
              <w:spacing w:after="40"/>
            </w:pPr>
            <w:r>
              <w:rPr>
                <w:rFonts w:ascii="Arial" w:hAnsi="Arial"/>
                <w:b/>
                <w:i w:val="0"/>
                <w:color w:val="2C3748"/>
                <w:sz w:val="18"/>
              </w:rPr>
              <w:t>Estate tax</w:t>
            </w:r>
          </w:p>
        </w:tc>
        <w:tc>
          <w:tcPr>
            <w:tcW w:type="dxa" w:w="4706"/>
          </w:tcPr>
          <w:p>
            <w:pPr>
              <w:spacing w:after="40"/>
            </w:pPr>
            <w:r>
              <w:rPr>
                <w:rFonts w:ascii="Arial" w:hAnsi="Arial"/>
                <w:i w:val="0"/>
                <w:color w:val="2C3748"/>
                <w:sz w:val="18"/>
              </w:rPr>
              <w:t>Australia imposes no estate or inheritance tax (in contrast to the US and UK regimes). Confirm position with advisers in both jurisdictions.</w:t>
            </w:r>
          </w:p>
        </w:tc>
      </w:tr>
      <w:tr>
        <w:tc>
          <w:tcPr>
            <w:tcW w:type="dxa" w:w="4706"/>
            <w:shd w:val="clear" w:color="auto" w:fill="F8FAFC"/>
          </w:tcPr>
          <w:p>
            <w:pPr>
              <w:spacing w:after="40"/>
            </w:pPr>
            <w:r>
              <w:rPr>
                <w:rFonts w:ascii="Arial" w:hAnsi="Arial"/>
                <w:b/>
                <w:i w:val="0"/>
                <w:color w:val="2C3748"/>
                <w:sz w:val="18"/>
              </w:rPr>
              <w:t>Currency</w:t>
            </w:r>
          </w:p>
        </w:tc>
        <w:tc>
          <w:tcPr>
            <w:tcW w:type="dxa" w:w="4706"/>
            <w:shd w:val="clear" w:color="auto" w:fill="F8FAFC"/>
          </w:tcPr>
          <w:p>
            <w:pPr>
              <w:spacing w:after="40"/>
            </w:pPr>
            <w:r>
              <w:rPr>
                <w:rFonts w:ascii="Arial" w:hAnsi="Arial"/>
                <w:i w:val="0"/>
                <w:color w:val="2C3748"/>
                <w:sz w:val="18"/>
              </w:rPr>
              <w:t>SGD/AUD movements affect both purchasing power at entry and repatriated proceeds at exit — a two-way exposure.</w:t>
            </w:r>
          </w:p>
        </w:tc>
      </w:tr>
      <w:tr>
        <w:tc>
          <w:tcPr>
            <w:tcW w:type="dxa" w:w="4706"/>
          </w:tcPr>
          <w:p>
            <w:pPr>
              <w:spacing w:after="40"/>
            </w:pPr>
            <w:r>
              <w:rPr>
                <w:rFonts w:ascii="Arial" w:hAnsi="Arial"/>
                <w:b/>
                <w:i w:val="0"/>
                <w:color w:val="2C3748"/>
                <w:sz w:val="18"/>
              </w:rPr>
              <w:t>Double-tax treaty</w:t>
            </w:r>
          </w:p>
        </w:tc>
        <w:tc>
          <w:tcPr>
            <w:tcW w:type="dxa" w:w="4706"/>
          </w:tcPr>
          <w:p>
            <w:pPr>
              <w:spacing w:after="40"/>
            </w:pPr>
            <w:r>
              <w:rPr>
                <w:rFonts w:ascii="Arial" w:hAnsi="Arial"/>
                <w:i w:val="0"/>
                <w:color w:val="2C3748"/>
                <w:sz w:val="18"/>
              </w:rPr>
              <w:t>The Australia–Singapore DTA allocates primary property-taxing rights to Australia, with home-country foreign tax credits addressing double taxation — confirm the current position with a tax adviser in both jurisdictions.</w:t>
            </w:r>
          </w:p>
        </w:tc>
      </w:tr>
    </w:tbl>
    <w:p>
      <w:r>
        <w:br w:type="page"/>
      </w:r>
    </w:p>
    <w:p>
      <w:pPr>
        <w:spacing w:after="200"/>
      </w:pPr>
      <w:r>
        <w:rPr>
          <w:rFonts w:ascii="Arial" w:hAnsi="Arial"/>
          <w:b/>
          <w:i w:val="0"/>
          <w:color w:val="B02A37"/>
          <w:sz w:val="20"/>
          <w:spacing w:val="26"/>
        </w:rPr>
        <w:t>APPENDIX</w:t>
      </w:r>
    </w:p>
    <w:p>
      <w:pPr>
        <w:spacing w:after="120"/>
      </w:pPr>
      <w:r>
        <w:rPr>
          <w:rFonts w:ascii="Georgia" w:hAnsi="Georgia"/>
          <w:b/>
          <w:i w:val="0"/>
          <w:color w:val="1A2332"/>
          <w:sz w:val="40"/>
        </w:rPr>
        <w:t>Methodology — data inputs and scoring</w:t>
      </w:r>
    </w:p>
    <w:p>
      <w:pPr>
        <w:spacing w:after="280"/>
        <w:pBdr>
          <w:bottom w:val="single" w:sz="12" w:space="6" w:color="B02A37"/>
        </w:pBdr>
      </w:pPr>
    </w:p>
    <w:p>
      <w:pPr>
        <w:spacing w:after="160"/>
      </w:pPr>
      <w:r>
        <w:rPr>
          <w:rFonts w:ascii="Arial" w:hAnsi="Arial"/>
          <w:b w:val="0"/>
          <w:i w:val="0"/>
          <w:color w:val="5B6779"/>
          <w:sz w:val="23"/>
        </w:rPr>
        <w:t>The composite scores in Section 4 were derived as follows. Each jurisdiction was scored 1–5 (stars) on each dimension, then weighted per Section 3 and summed. Scores reflect the data inputs below as at 6 August 2026.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1A2332"/>
          </w:tcPr>
          <w:p>
            <w:pPr>
              <w:spacing w:after="40"/>
            </w:pPr>
            <w:r>
              <w:rPr>
                <w:rFonts w:ascii="Arial" w:hAnsi="Arial"/>
                <w:b/>
                <w:i w:val="0"/>
                <w:color w:val="FFFFFF"/>
                <w:sz w:val="17"/>
              </w:rPr>
              <w:t>Dimension (weight)</w:t>
            </w:r>
          </w:p>
        </w:tc>
        <w:tc>
          <w:tcPr>
            <w:tcW w:type="dxa" w:w="3137"/>
            <w:shd w:val="clear" w:color="auto" w:fill="1A2332"/>
          </w:tcPr>
          <w:p>
            <w:pPr>
              <w:spacing w:after="40"/>
            </w:pPr>
            <w:r>
              <w:rPr>
                <w:rFonts w:ascii="Arial" w:hAnsi="Arial"/>
                <w:b/>
                <w:i w:val="0"/>
                <w:color w:val="FFFFFF"/>
                <w:sz w:val="17"/>
              </w:rPr>
              <w:t>Primary data input</w:t>
            </w:r>
          </w:p>
        </w:tc>
        <w:tc>
          <w:tcPr>
            <w:tcW w:type="dxa" w:w="3137"/>
            <w:shd w:val="clear" w:color="auto" w:fill="1A2332"/>
          </w:tcPr>
          <w:p>
            <w:pPr>
              <w:spacing w:after="40"/>
            </w:pPr>
            <w:r>
              <w:rPr>
                <w:rFonts w:ascii="Arial" w:hAnsi="Arial"/>
                <w:b/>
                <w:i w:val="0"/>
                <w:color w:val="FFFFFF"/>
                <w:sz w:val="17"/>
              </w:rPr>
              <w:t>Source</w:t>
            </w:r>
          </w:p>
        </w:tc>
      </w:tr>
      <w:tr>
        <w:tc>
          <w:tcPr>
            <w:tcW w:type="dxa" w:w="3137"/>
          </w:tcPr>
          <w:p>
            <w:pPr>
              <w:spacing w:after="40"/>
            </w:pPr>
            <w:r>
              <w:rPr>
                <w:rFonts w:ascii="Arial" w:hAnsi="Arial"/>
                <w:i w:val="0"/>
                <w:color w:val="2C3748"/>
                <w:sz w:val="18"/>
              </w:rPr>
              <w:t>Foreign-entry cost (30%)</w:t>
            </w:r>
          </w:p>
        </w:tc>
        <w:tc>
          <w:tcPr>
            <w:tcW w:type="dxa" w:w="3137"/>
          </w:tcPr>
          <w:p>
            <w:pPr>
              <w:spacing w:after="40"/>
            </w:pPr>
            <w:r>
              <w:rPr>
                <w:rFonts w:ascii="Arial" w:hAnsi="Arial"/>
                <w:i w:val="0"/>
                <w:color w:val="2C3748"/>
                <w:sz w:val="18"/>
              </w:rPr>
              <w:t>Surcharge purchaser duty and surcharge land tax rates</w:t>
            </w:r>
          </w:p>
        </w:tc>
        <w:tc>
          <w:tcPr>
            <w:tcW w:type="dxa" w:w="3137"/>
          </w:tcPr>
          <w:p>
            <w:pPr>
              <w:spacing w:after="40"/>
            </w:pPr>
            <w:r>
              <w:rPr>
                <w:rFonts w:ascii="Arial" w:hAnsi="Arial"/>
                <w:i w:val="0"/>
                <w:color w:val="2C3748"/>
                <w:sz w:val="18"/>
              </w:rPr>
              <w:t>State revenue offices (Aug 2026)</w:t>
            </w:r>
          </w:p>
        </w:tc>
      </w:tr>
      <w:tr>
        <w:tc>
          <w:tcPr>
            <w:tcW w:type="dxa" w:w="3137"/>
            <w:shd w:val="clear" w:color="auto" w:fill="F8FAFC"/>
          </w:tcPr>
          <w:p>
            <w:pPr>
              <w:spacing w:after="40"/>
            </w:pPr>
            <w:r>
              <w:rPr>
                <w:rFonts w:ascii="Arial" w:hAnsi="Arial"/>
                <w:i w:val="0"/>
                <w:color w:val="2C3748"/>
                <w:sz w:val="18"/>
              </w:rPr>
              <w:t>Rental yield (20%)</w:t>
            </w:r>
          </w:p>
        </w:tc>
        <w:tc>
          <w:tcPr>
            <w:tcW w:type="dxa" w:w="3137"/>
            <w:shd w:val="clear" w:color="auto" w:fill="F8FAFC"/>
          </w:tcPr>
          <w:p>
            <w:pPr>
              <w:spacing w:after="40"/>
            </w:pPr>
            <w:r>
              <w:rPr>
                <w:rFonts w:ascii="Arial" w:hAnsi="Arial"/>
                <w:i w:val="0"/>
                <w:color w:val="2C3748"/>
                <w:sz w:val="18"/>
              </w:rPr>
              <w:t>Vacancy rates; gross-yield range</w:t>
            </w:r>
          </w:p>
        </w:tc>
        <w:tc>
          <w:tcPr>
            <w:tcW w:type="dxa" w:w="3137"/>
            <w:shd w:val="clear" w:color="auto" w:fill="F8FAFC"/>
          </w:tcPr>
          <w:p>
            <w:pPr>
              <w:spacing w:after="40"/>
            </w:pPr>
            <w:r>
              <w:rPr>
                <w:rFonts w:ascii="Arial" w:hAnsi="Arial"/>
                <w:i w:val="0"/>
                <w:color w:val="2C3748"/>
                <w:sz w:val="18"/>
              </w:rPr>
              <w:t>REIWA; SQM Research (Jun 2026)</w:t>
            </w:r>
          </w:p>
        </w:tc>
      </w:tr>
      <w:tr>
        <w:tc>
          <w:tcPr>
            <w:tcW w:type="dxa" w:w="3137"/>
          </w:tcPr>
          <w:p>
            <w:pPr>
              <w:spacing w:after="40"/>
            </w:pPr>
            <w:r>
              <w:rPr>
                <w:rFonts w:ascii="Arial" w:hAnsi="Arial"/>
                <w:i w:val="0"/>
                <w:color w:val="2C3748"/>
                <w:sz w:val="18"/>
              </w:rPr>
              <w:t>Capital-growth outlook (20%)</w:t>
            </w:r>
          </w:p>
        </w:tc>
        <w:tc>
          <w:tcPr>
            <w:tcW w:type="dxa" w:w="3137"/>
          </w:tcPr>
          <w:p>
            <w:pPr>
              <w:spacing w:after="40"/>
            </w:pPr>
            <w:r>
              <w:rPr>
                <w:rFonts w:ascii="Arial" w:hAnsi="Arial"/>
                <w:i w:val="0"/>
                <w:color w:val="2C3748"/>
                <w:sz w:val="18"/>
              </w:rPr>
              <w:t>Population growth; dwelling commencements; supply pipeline</w:t>
            </w:r>
          </w:p>
        </w:tc>
        <w:tc>
          <w:tcPr>
            <w:tcW w:type="dxa" w:w="3137"/>
          </w:tcPr>
          <w:p>
            <w:pPr>
              <w:spacing w:after="40"/>
            </w:pPr>
            <w:r>
              <w:rPr>
                <w:rFonts w:ascii="Arial" w:hAnsi="Arial"/>
                <w:i w:val="0"/>
                <w:color w:val="2C3748"/>
                <w:sz w:val="18"/>
              </w:rPr>
              <w:t>ABS (Dec 2025); HIA (Mar 2026)</w:t>
            </w:r>
          </w:p>
        </w:tc>
      </w:tr>
      <w:tr>
        <w:tc>
          <w:tcPr>
            <w:tcW w:type="dxa" w:w="3137"/>
            <w:shd w:val="clear" w:color="auto" w:fill="F8FAFC"/>
          </w:tcPr>
          <w:p>
            <w:pPr>
              <w:spacing w:after="40"/>
            </w:pPr>
            <w:r>
              <w:rPr>
                <w:rFonts w:ascii="Arial" w:hAnsi="Arial"/>
                <w:i w:val="0"/>
                <w:color w:val="2C3748"/>
                <w:sz w:val="18"/>
              </w:rPr>
              <w:t>Liquidity / exit depth (15%)</w:t>
            </w:r>
          </w:p>
        </w:tc>
        <w:tc>
          <w:tcPr>
            <w:tcW w:type="dxa" w:w="3137"/>
            <w:shd w:val="clear" w:color="auto" w:fill="F8FAFC"/>
          </w:tcPr>
          <w:p>
            <w:pPr>
              <w:spacing w:after="40"/>
            </w:pPr>
            <w:r>
              <w:rPr>
                <w:rFonts w:ascii="Arial" w:hAnsi="Arial"/>
                <w:i w:val="0"/>
                <w:color w:val="2C3748"/>
                <w:sz w:val="18"/>
              </w:rPr>
              <w:t>Market size; transaction volumes; buyer depth</w:t>
            </w:r>
          </w:p>
        </w:tc>
        <w:tc>
          <w:tcPr>
            <w:tcW w:type="dxa" w:w="3137"/>
            <w:shd w:val="clear" w:color="auto" w:fill="F8FAFC"/>
          </w:tcPr>
          <w:p>
            <w:pPr>
              <w:spacing w:after="40"/>
            </w:pPr>
            <w:r>
              <w:rPr>
                <w:rFonts w:ascii="Arial" w:hAnsi="Arial"/>
                <w:i w:val="0"/>
                <w:color w:val="2C3748"/>
                <w:sz w:val="18"/>
              </w:rPr>
              <w:t>State revenue offices; industry data</w:t>
            </w:r>
          </w:p>
        </w:tc>
      </w:tr>
      <w:tr>
        <w:tc>
          <w:tcPr>
            <w:tcW w:type="dxa" w:w="3137"/>
          </w:tcPr>
          <w:p>
            <w:pPr>
              <w:spacing w:after="40"/>
            </w:pPr>
            <w:r>
              <w:rPr>
                <w:rFonts w:ascii="Arial" w:hAnsi="Arial"/>
                <w:i w:val="0"/>
                <w:color w:val="2C3748"/>
                <w:sz w:val="18"/>
              </w:rPr>
              <w:t>New-dwelling incentives (10%)</w:t>
            </w:r>
          </w:p>
        </w:tc>
        <w:tc>
          <w:tcPr>
            <w:tcW w:type="dxa" w:w="3137"/>
          </w:tcPr>
          <w:p>
            <w:pPr>
              <w:spacing w:after="40"/>
            </w:pPr>
            <w:r>
              <w:rPr>
                <w:rFonts w:ascii="Arial" w:hAnsi="Arial"/>
                <w:i w:val="0"/>
                <w:color w:val="2C3748"/>
                <w:sz w:val="18"/>
              </w:rPr>
              <w:t>Off-the-plan concessions and rebates</w:t>
            </w:r>
          </w:p>
        </w:tc>
        <w:tc>
          <w:tcPr>
            <w:tcW w:type="dxa" w:w="3137"/>
          </w:tcPr>
          <w:p>
            <w:pPr>
              <w:spacing w:after="40"/>
            </w:pPr>
            <w:r>
              <w:rPr>
                <w:rFonts w:ascii="Arial" w:hAnsi="Arial"/>
                <w:i w:val="0"/>
                <w:color w:val="2C3748"/>
                <w:sz w:val="18"/>
              </w:rPr>
              <w:t>WA Gov; VIC Gov; state revenue offices</w:t>
            </w:r>
          </w:p>
        </w:tc>
      </w:tr>
      <w:tr>
        <w:tc>
          <w:tcPr>
            <w:tcW w:type="dxa" w:w="3137"/>
            <w:shd w:val="clear" w:color="auto" w:fill="F8FAFC"/>
          </w:tcPr>
          <w:p>
            <w:pPr>
              <w:spacing w:after="40"/>
            </w:pPr>
            <w:r>
              <w:rPr>
                <w:rFonts w:ascii="Arial" w:hAnsi="Arial"/>
                <w:i w:val="0"/>
                <w:color w:val="2C3748"/>
                <w:sz w:val="18"/>
              </w:rPr>
              <w:t>Tax-regime simplicity (5%)</w:t>
            </w:r>
          </w:p>
        </w:tc>
        <w:tc>
          <w:tcPr>
            <w:tcW w:type="dxa" w:w="3137"/>
            <w:shd w:val="clear" w:color="auto" w:fill="F8FAFC"/>
          </w:tcPr>
          <w:p>
            <w:pPr>
              <w:spacing w:after="40"/>
            </w:pPr>
            <w:r>
              <w:rPr>
                <w:rFonts w:ascii="Arial" w:hAnsi="Arial"/>
                <w:i w:val="0"/>
                <w:color w:val="2C3748"/>
                <w:sz w:val="18"/>
              </w:rPr>
              <w:t>Land tax structure; absentee provisions</w:t>
            </w:r>
          </w:p>
        </w:tc>
        <w:tc>
          <w:tcPr>
            <w:tcW w:type="dxa" w:w="3137"/>
            <w:shd w:val="clear" w:color="auto" w:fill="F8FAFC"/>
          </w:tcPr>
          <w:p>
            <w:pPr>
              <w:spacing w:after="40"/>
            </w:pPr>
            <w:r>
              <w:rPr>
                <w:rFonts w:ascii="Arial" w:hAnsi="Arial"/>
                <w:i w:val="0"/>
                <w:color w:val="2C3748"/>
                <w:sz w:val="18"/>
              </w:rPr>
              <w:t>State revenue offices</w:t>
            </w:r>
          </w:p>
        </w:tc>
      </w:tr>
    </w:tbl>
    <w:p>
      <w:pPr>
        <w:spacing w:after="240" w:before="40"/>
      </w:pPr>
      <w:r>
        <w:rPr>
          <w:rFonts w:ascii="Arial" w:hAnsi="Arial"/>
          <w:b w:val="0"/>
          <w:i/>
          <w:color w:val="5B6779"/>
          <w:sz w:val="17"/>
        </w:rPr>
        <w:t>Weightings and star ratings are the author's judgement, disclosed for transparency so readers can re-weight or re-score. This is a market-research framework, not a recommendation.</w:t>
      </w:r>
    </w:p>
    <w:p>
      <w:r>
        <w:br w:type="page"/>
      </w:r>
    </w:p>
    <w:p>
      <w:pPr>
        <w:spacing w:after="200"/>
      </w:pPr>
      <w:r>
        <w:rPr>
          <w:rFonts w:ascii="Arial" w:hAnsi="Arial"/>
          <w:b/>
          <w:i w:val="0"/>
          <w:color w:val="B02A37"/>
          <w:sz w:val="20"/>
          <w:spacing w:val="26"/>
        </w:rPr>
        <w:t>SOURCES</w:t>
      </w:r>
    </w:p>
    <w:p>
      <w:pPr>
        <w:spacing w:after="120"/>
      </w:pPr>
      <w:r>
        <w:rPr>
          <w:rFonts w:ascii="Georgia" w:hAnsi="Georgia"/>
          <w:b/>
          <w:i w:val="0"/>
          <w:color w:val="1A2332"/>
          <w:sz w:val="40"/>
        </w:rPr>
        <w:t>References — verified August 2026</w:t>
      </w:r>
    </w:p>
    <w:p>
      <w:pPr>
        <w:spacing w:after="280"/>
        <w:pBdr>
          <w:bottom w:val="single" w:sz="12" w:space="6" w:color="B02A37"/>
        </w:pBdr>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A2332"/>
          </w:tcPr>
          <w:p>
            <w:pPr>
              <w:spacing w:after="40"/>
            </w:pPr>
            <w:r>
              <w:rPr>
                <w:rFonts w:ascii="Arial" w:hAnsi="Arial"/>
                <w:b/>
                <w:i w:val="0"/>
                <w:color w:val="FFFFFF"/>
                <w:sz w:val="17"/>
              </w:rPr>
              <w:t>Authority</w:t>
            </w:r>
          </w:p>
        </w:tc>
        <w:tc>
          <w:tcPr>
            <w:tcW w:type="dxa" w:w="4706"/>
            <w:shd w:val="clear" w:color="auto" w:fill="1A2332"/>
          </w:tcPr>
          <w:p>
            <w:pPr>
              <w:spacing w:after="40"/>
            </w:pPr>
            <w:r>
              <w:rPr>
                <w:rFonts w:ascii="Arial" w:hAnsi="Arial"/>
                <w:b/>
                <w:i w:val="0"/>
                <w:color w:val="FFFFFF"/>
                <w:sz w:val="17"/>
              </w:rPr>
              <w:t>Document / Data</w:t>
            </w:r>
          </w:p>
        </w:tc>
      </w:tr>
      <w:tr>
        <w:tc>
          <w:tcPr>
            <w:tcW w:type="dxa" w:w="4706"/>
          </w:tcPr>
          <w:p>
            <w:pPr>
              <w:spacing w:after="40"/>
            </w:pPr>
            <w:r>
              <w:rPr>
                <w:rFonts w:ascii="Arial" w:hAnsi="Arial"/>
                <w:i w:val="0"/>
                <w:color w:val="2C3748"/>
                <w:sz w:val="18"/>
              </w:rPr>
              <w:t>ABS</w:t>
            </w:r>
          </w:p>
        </w:tc>
        <w:tc>
          <w:tcPr>
            <w:tcW w:type="dxa" w:w="4706"/>
          </w:tcPr>
          <w:p>
            <w:pPr>
              <w:spacing w:after="40"/>
            </w:pPr>
            <w:r>
              <w:rPr>
                <w:rFonts w:ascii="Arial" w:hAnsi="Arial"/>
                <w:i w:val="0"/>
                <w:color w:val="2C3748"/>
                <w:sz w:val="18"/>
              </w:rPr>
              <w:t>National State and Territory Population, December 2025 — WA 2.2% growth, fastest in Australia.</w:t>
            </w:r>
          </w:p>
        </w:tc>
      </w:tr>
      <w:tr>
        <w:tc>
          <w:tcPr>
            <w:tcW w:type="dxa" w:w="4706"/>
            <w:shd w:val="clear" w:color="auto" w:fill="F8FAFC"/>
          </w:tcPr>
          <w:p>
            <w:pPr>
              <w:spacing w:after="40"/>
            </w:pPr>
            <w:r>
              <w:rPr>
                <w:rFonts w:ascii="Arial" w:hAnsi="Arial"/>
                <w:i w:val="0"/>
                <w:color w:val="2C3748"/>
                <w:sz w:val="18"/>
              </w:rPr>
              <w:t>REIWA / Blackburne</w:t>
            </w:r>
          </w:p>
        </w:tc>
        <w:tc>
          <w:tcPr>
            <w:tcW w:type="dxa" w:w="4706"/>
            <w:shd w:val="clear" w:color="auto" w:fill="F8FAFC"/>
          </w:tcPr>
          <w:p>
            <w:pPr>
              <w:spacing w:after="40"/>
            </w:pPr>
            <w:r>
              <w:rPr>
                <w:rFonts w:ascii="Arial" w:hAnsi="Arial"/>
                <w:i w:val="0"/>
                <w:color w:val="2C3748"/>
                <w:sz w:val="18"/>
              </w:rPr>
              <w:t>Perth rental market, mid-2026 — vacancy 2.0–2.5% (REIWA measure); SQM Research June 2026 — Perth 0.6%, Canberra 1.7%.</w:t>
            </w:r>
          </w:p>
        </w:tc>
      </w:tr>
      <w:tr>
        <w:tc>
          <w:tcPr>
            <w:tcW w:type="dxa" w:w="4706"/>
          </w:tcPr>
          <w:p>
            <w:pPr>
              <w:spacing w:after="40"/>
            </w:pPr>
            <w:r>
              <w:rPr>
                <w:rFonts w:ascii="Arial" w:hAnsi="Arial"/>
                <w:i w:val="0"/>
                <w:color w:val="2C3748"/>
                <w:sz w:val="18"/>
              </w:rPr>
              <w:t>HIA Economic Research</w:t>
            </w:r>
          </w:p>
        </w:tc>
        <w:tc>
          <w:tcPr>
            <w:tcW w:type="dxa" w:w="4706"/>
          </w:tcPr>
          <w:p>
            <w:pPr>
              <w:spacing w:after="40"/>
            </w:pPr>
            <w:r>
              <w:rPr>
                <w:rFonts w:ascii="Arial" w:hAnsi="Arial"/>
                <w:i w:val="0"/>
                <w:color w:val="2C3748"/>
                <w:sz w:val="18"/>
              </w:rPr>
              <w:t>Apartment surge, July 2026 — ACT commencements +71.8% in March 2026 quarter, apartment-driven.</w:t>
            </w:r>
          </w:p>
        </w:tc>
      </w:tr>
      <w:tr>
        <w:tc>
          <w:tcPr>
            <w:tcW w:type="dxa" w:w="4706"/>
            <w:shd w:val="clear" w:color="auto" w:fill="F8FAFC"/>
          </w:tcPr>
          <w:p>
            <w:pPr>
              <w:spacing w:after="40"/>
            </w:pPr>
            <w:r>
              <w:rPr>
                <w:rFonts w:ascii="Arial" w:hAnsi="Arial"/>
                <w:i w:val="0"/>
                <w:color w:val="2C3748"/>
                <w:sz w:val="18"/>
              </w:rPr>
              <w:t>ATO</w:t>
            </w:r>
          </w:p>
        </w:tc>
        <w:tc>
          <w:tcPr>
            <w:tcW w:type="dxa" w:w="4706"/>
            <w:shd w:val="clear" w:color="auto" w:fill="F8FAFC"/>
          </w:tcPr>
          <w:p>
            <w:pPr>
              <w:spacing w:after="40"/>
            </w:pPr>
            <w:r>
              <w:rPr>
                <w:rFonts w:ascii="Arial" w:hAnsi="Arial"/>
                <w:i w:val="0"/>
                <w:color w:val="2C3748"/>
                <w:sz w:val="18"/>
              </w:rPr>
              <w:t>Residential fees for a foreign person (2026-27 tables; $15,600 fee; ban to 30 June 2029).</w:t>
            </w:r>
          </w:p>
        </w:tc>
      </w:tr>
      <w:tr>
        <w:tc>
          <w:tcPr>
            <w:tcW w:type="dxa" w:w="4706"/>
          </w:tcPr>
          <w:p>
            <w:pPr>
              <w:spacing w:after="40"/>
            </w:pPr>
            <w:r>
              <w:rPr>
                <w:rFonts w:ascii="Arial" w:hAnsi="Arial"/>
                <w:i w:val="0"/>
                <w:color w:val="2C3748"/>
                <w:sz w:val="18"/>
              </w:rPr>
              <w:t>Revenue NSW</w:t>
            </w:r>
          </w:p>
        </w:tc>
        <w:tc>
          <w:tcPr>
            <w:tcW w:type="dxa" w:w="4706"/>
          </w:tcPr>
          <w:p>
            <w:pPr>
              <w:spacing w:after="40"/>
            </w:pPr>
            <w:r>
              <w:rPr>
                <w:rFonts w:ascii="Arial" w:hAnsi="Arial"/>
                <w:i w:val="0"/>
                <w:color w:val="2C3748"/>
                <w:sz w:val="18"/>
              </w:rPr>
              <w:t>Surcharge land tax rates (5% from 2025); transfer duty rates (2026-27).</w:t>
            </w:r>
          </w:p>
        </w:tc>
      </w:tr>
      <w:tr>
        <w:tc>
          <w:tcPr>
            <w:tcW w:type="dxa" w:w="4706"/>
            <w:shd w:val="clear" w:color="auto" w:fill="F8FAFC"/>
          </w:tcPr>
          <w:p>
            <w:pPr>
              <w:spacing w:after="40"/>
            </w:pPr>
            <w:r>
              <w:rPr>
                <w:rFonts w:ascii="Arial" w:hAnsi="Arial"/>
                <w:i w:val="0"/>
                <w:color w:val="2C3748"/>
                <w:sz w:val="18"/>
              </w:rPr>
              <w:t>WA Government</w:t>
            </w:r>
          </w:p>
        </w:tc>
        <w:tc>
          <w:tcPr>
            <w:tcW w:type="dxa" w:w="4706"/>
            <w:shd w:val="clear" w:color="auto" w:fill="F8FAFC"/>
          </w:tcPr>
          <w:p>
            <w:pPr>
              <w:spacing w:after="40"/>
            </w:pPr>
            <w:r>
              <w:rPr>
                <w:rFonts w:ascii="Arial" w:hAnsi="Arial"/>
                <w:i w:val="0"/>
                <w:color w:val="2C3748"/>
                <w:sz w:val="18"/>
              </w:rPr>
              <w:t>Off-the-plan duty concession (100% ≤ $800k, to 30 June 2028); foreign buyers duty (7%).</w:t>
            </w:r>
          </w:p>
        </w:tc>
      </w:tr>
      <w:tr>
        <w:tc>
          <w:tcPr>
            <w:tcW w:type="dxa" w:w="4706"/>
          </w:tcPr>
          <w:p>
            <w:pPr>
              <w:spacing w:after="40"/>
            </w:pPr>
            <w:r>
              <w:rPr>
                <w:rFonts w:ascii="Arial" w:hAnsi="Arial"/>
                <w:i w:val="0"/>
                <w:color w:val="2C3748"/>
                <w:sz w:val="18"/>
              </w:rPr>
              <w:t>FIRB</w:t>
            </w:r>
          </w:p>
        </w:tc>
        <w:tc>
          <w:tcPr>
            <w:tcW w:type="dxa" w:w="4706"/>
          </w:tcPr>
          <w:p>
            <w:pPr>
              <w:spacing w:after="40"/>
            </w:pPr>
            <w:r>
              <w:rPr>
                <w:rFonts w:ascii="Arial" w:hAnsi="Arial"/>
                <w:i w:val="0"/>
                <w:color w:val="2C3748"/>
                <w:sz w:val="18"/>
              </w:rPr>
              <w:t>Schedule of Fees (2025-26 reference).</w:t>
            </w:r>
          </w:p>
        </w:tc>
      </w:tr>
      <w:tr>
        <w:tc>
          <w:tcPr>
            <w:tcW w:type="dxa" w:w="4706"/>
            <w:shd w:val="clear" w:color="auto" w:fill="F8FAFC"/>
          </w:tcPr>
          <w:p>
            <w:pPr>
              <w:spacing w:after="40"/>
            </w:pPr>
            <w:r>
              <w:rPr>
                <w:rFonts w:ascii="Arial" w:hAnsi="Arial"/>
                <w:i w:val="0"/>
                <w:color w:val="2C3748"/>
                <w:sz w:val="18"/>
              </w:rPr>
              <w:t>Pexels</w:t>
            </w:r>
          </w:p>
        </w:tc>
        <w:tc>
          <w:tcPr>
            <w:tcW w:type="dxa" w:w="4706"/>
            <w:shd w:val="clear" w:color="auto" w:fill="F8FAFC"/>
          </w:tcPr>
          <w:p>
            <w:pPr>
              <w:spacing w:after="40"/>
            </w:pPr>
            <w:r>
              <w:rPr>
                <w:rFonts w:ascii="Arial" w:hAnsi="Arial"/>
                <w:i w:val="0"/>
                <w:color w:val="2C3748"/>
                <w:sz w:val="18"/>
              </w:rPr>
              <w:t>Report imagery (licensed for free use).</w:t>
            </w:r>
          </w:p>
        </w:tc>
      </w:tr>
    </w:tbl>
    <w:p>
      <w:pPr>
        <w:spacing w:after="240" w:before="40"/>
      </w:pPr>
      <w:r>
        <w:rPr>
          <w:rFonts w:ascii="Arial" w:hAnsi="Arial"/>
          <w:b w:val="0"/>
          <w:i/>
          <w:color w:val="5B6779"/>
          <w:sz w:val="17"/>
        </w:rPr>
        <w:t>Figures verified against the cited authorities on 6 August 2026. FIRB fees index annually on 1 July; state rates change periodically — re-verify before relying.</w:t>
      </w:r>
    </w:p>
    <w:p>
      <w:pPr>
        <w:spacing w:before="200"/>
        <w:shd w:val="clear" w:color="auto" w:fill="0D1420"/>
      </w:pPr>
      <w:r>
        <w:rPr>
          <w:rFonts w:ascii="Arial" w:hAnsi="Arial"/>
          <w:b w:val="0"/>
          <w:i w:val="0"/>
          <w:color w:val="B9C3D2"/>
          <w:sz w:val="17"/>
        </w:rPr>
        <w:br/>
        <w:t xml:space="preserve">  </w:t>
      </w:r>
      <w:r>
        <w:rPr>
          <w:rFonts w:ascii="Arial" w:hAnsi="Arial"/>
          <w:b/>
          <w:i w:val="0"/>
          <w:color w:val="B9C3D2"/>
          <w:sz w:val="17"/>
        </w:rPr>
        <w:t>Australian Property Market Research Report — Singaporean Perspective — August 2026</w:t>
      </w:r>
      <w:r>
        <w:br/>
      </w:r>
      <w:r>
        <w:rPr>
          <w:rFonts w:ascii="Arial" w:hAnsi="Arial"/>
          <w:b w:val="0"/>
          <w:i w:val="0"/>
          <w:color w:val="B9C3D2"/>
          <w:sz w:val="17"/>
        </w:rPr>
        <w:br/>
        <w:t xml:space="preserve">  Prepared by Afirmico Finance (W. Ledingham, Mortgage Broker)  ·  Credit Representative of Purple Circle Financial Services, ACL 486112</w:t>
      </w:r>
      <w:r>
        <w:br/>
      </w:r>
      <w:r>
        <w:rPr>
          <w:rFonts w:ascii="Arial" w:hAnsi="Arial"/>
          <w:b w:val="0"/>
          <w:i w:val="0"/>
          <w:color w:val="B9C3D2"/>
          <w:sz w:val="17"/>
        </w:rPr>
        <w:br/>
        <w:t xml:space="preserve">  Artificial Intelligence (AI) was used in the preparation of this report. All figures have been human-verified against primary sources.</w:t>
      </w:r>
      <w:r>
        <w:br/>
      </w:r>
      <w:r>
        <w:rPr>
          <w:rFonts w:ascii="Arial" w:hAnsi="Arial"/>
          <w:b w:val="0"/>
          <w:i w:val="0"/>
          <w:color w:val="B9C3D2"/>
          <w:sz w:val="17"/>
        </w:rPr>
        <w:br/>
        <w:t xml:space="preserve">  This report is general information only and is not financial, credit, legal or tax advice. It is not prepared having regard to any person's objectives, financial situation or needs.</w:t>
        <w:br/>
      </w:r>
    </w:p>
    <w:sectPr w:rsidR="00FC693F" w:rsidRPr="0006063C" w:rsidSect="00034616">
      <w:footerReference w:type="firs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rFonts w:ascii="Arial" w:hAnsi="Arial"/>
        <w:b w:val="0"/>
        <w:i w:val="0"/>
        <w:color w:val="5B6779"/>
        <w:sz w:val="15"/>
      </w:rPr>
      <w:t>Australian Property Market Research Report — Singaporean Perspective — August 2026</w:t>
    </w:r>
    <w:r>
      <w:rPr>
        <w:sz w:val="15"/>
      </w:rPr>
      <w:tab/>
    </w:r>
    <w:r>
      <w:rPr>
        <w:rFonts w:ascii="Arial" w:hAnsi="Arial"/>
        <w:b w:val="0"/>
        <w:i w:val="0"/>
        <w:color w:val="5B6779"/>
        <w:sz w:val="15"/>
      </w:rPr>
      <w:t xml:space="preserve">Page </w:t>
    </w:r>
    <w:r>
      <w:fldChar w:fldCharType="begin"/>
      <w:instrText xml:space="preserve">PAGE</w:instrText>
      <w:fldChar w:fldCharType="end"/>
    </w:r>
    <w:r>
      <w:rPr>
        <w:rFonts w:ascii="Arial" w:hAnsi="Arial"/>
        <w:b w:val="0"/>
        <w:i w:val="0"/>
        <w:color w:val="5B6779"/>
        <w:sz w:val="15"/>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Property Market Research Report — Singaporean Perspective — August 2026</dc:title>
  <dc:subject>Property Market Research</dc:subject>
  <dc:creator>W. Ledingham, Mortgage Broker — Afirmico Finance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