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lang w:val="en-US" w:eastAsia="zh-CN"/>
        </w:rPr>
      </w:pPr>
      <w:r>
        <w:rPr>
          <w:rFonts w:hint="eastAsia"/>
          <w:b/>
          <w:bCs/>
          <w:sz w:val="24"/>
          <w:szCs w:val="32"/>
          <w:lang w:val="en-US" w:eastAsia="zh-CN"/>
        </w:rPr>
        <w:t>Go hash</w:t>
      </w:r>
    </w:p>
    <w:p>
      <w:pPr>
        <w:jc w:val="both"/>
        <w:rPr>
          <w:rFonts w:hint="default"/>
          <w:b/>
          <w:bCs/>
          <w:lang w:val="en-US" w:eastAsia="zh-CN"/>
        </w:rPr>
      </w:pPr>
    </w:p>
    <w:p>
      <w:pPr>
        <w:numPr>
          <w:numId w:val="0"/>
        </w:numPr>
        <w:ind w:leftChars="0"/>
        <w:jc w:val="both"/>
        <w:rPr>
          <w:rFonts w:hint="eastAsia"/>
          <w:b/>
          <w:bCs/>
          <w:sz w:val="22"/>
          <w:szCs w:val="28"/>
          <w:lang w:val="en-US" w:eastAsia="zh-CN"/>
        </w:rPr>
      </w:pPr>
      <w:r>
        <w:rPr>
          <w:rFonts w:hint="eastAsia"/>
          <w:b/>
          <w:bCs/>
          <w:sz w:val="22"/>
          <w:szCs w:val="28"/>
          <w:lang w:val="en-US" w:eastAsia="zh-CN"/>
        </w:rPr>
        <w:t>一、Go语言里的hash结构：</w:t>
      </w:r>
    </w:p>
    <w:p>
      <w:pPr>
        <w:jc w:val="both"/>
        <w:rPr>
          <w:rFonts w:hint="default"/>
          <w:b w:val="0"/>
          <w:bCs w:val="0"/>
          <w:sz w:val="21"/>
          <w:szCs w:val="21"/>
          <w:lang w:val="en-US" w:eastAsia="zh-CN"/>
        </w:rPr>
      </w:pPr>
      <w:r>
        <w:rPr>
          <w:rFonts w:hint="eastAsia"/>
          <w:b w:val="0"/>
          <w:bCs w:val="0"/>
          <w:sz w:val="21"/>
          <w:szCs w:val="21"/>
          <w:lang w:val="en-US" w:eastAsia="zh-CN"/>
        </w:rPr>
        <w:t xml:space="preserve">1. </w:t>
      </w:r>
      <w:r>
        <w:rPr>
          <w:rFonts w:hint="default"/>
          <w:b w:val="0"/>
          <w:bCs w:val="0"/>
          <w:sz w:val="21"/>
          <w:szCs w:val="21"/>
          <w:lang w:val="en-US" w:eastAsia="zh-CN"/>
        </w:rPr>
        <w:t>哈希函数：Go语言的标准库提供了多种哈希函数，如crypto/md5、crypto/sha1、crypto/sha256等，这些函数可以将任意长度的数据转换为固定长度的哈希值。</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 xml:space="preserve">2. </w:t>
      </w:r>
      <w:r>
        <w:rPr>
          <w:rFonts w:hint="default"/>
          <w:b w:val="0"/>
          <w:bCs w:val="0"/>
          <w:sz w:val="21"/>
          <w:szCs w:val="21"/>
          <w:lang w:val="en-US" w:eastAsia="zh-CN"/>
        </w:rPr>
        <w:t>哈希表（map）：Go语言中的map类型实现了一个哈希表，它使用哈希函数来映射键到值的存储位置。map的底层实现</w:t>
      </w:r>
      <w:r>
        <w:rPr>
          <w:rFonts w:hint="eastAsia"/>
          <w:b w:val="0"/>
          <w:bCs w:val="0"/>
          <w:sz w:val="21"/>
          <w:szCs w:val="21"/>
          <w:lang w:val="en-US" w:eastAsia="zh-CN"/>
        </w:rPr>
        <w:t>不是</w:t>
      </w:r>
      <w:r>
        <w:rPr>
          <w:rFonts w:hint="default"/>
          <w:b w:val="0"/>
          <w:bCs w:val="0"/>
          <w:sz w:val="21"/>
          <w:szCs w:val="21"/>
          <w:lang w:val="en-US" w:eastAsia="zh-CN"/>
        </w:rPr>
        <w:t>直接暴露给</w:t>
      </w:r>
      <w:r>
        <w:rPr>
          <w:rFonts w:hint="eastAsia"/>
          <w:b w:val="0"/>
          <w:bCs w:val="0"/>
          <w:sz w:val="21"/>
          <w:szCs w:val="21"/>
          <w:lang w:val="en-US" w:eastAsia="zh-CN"/>
        </w:rPr>
        <w:t>用户。</w:t>
      </w:r>
      <w:r>
        <w:rPr>
          <w:rFonts w:hint="default"/>
          <w:b w:val="0"/>
          <w:bCs w:val="0"/>
          <w:sz w:val="21"/>
          <w:szCs w:val="21"/>
          <w:lang w:val="en-US" w:eastAsia="zh-CN"/>
        </w:rPr>
        <w:t>map使用键（key）来存储和检索值（value），并且内部使用哈希算法来实现高效的键值对存储和检索。</w:t>
      </w:r>
    </w:p>
    <w:p>
      <w:pPr>
        <w:jc w:val="both"/>
        <w:rPr>
          <w:rFonts w:hint="default"/>
          <w:b w:val="0"/>
          <w:bCs w:val="0"/>
          <w:sz w:val="21"/>
          <w:szCs w:val="21"/>
          <w:lang w:val="en-US" w:eastAsia="zh-CN"/>
        </w:rPr>
      </w:pPr>
    </w:p>
    <w:p>
      <w:pPr>
        <w:numPr>
          <w:ilvl w:val="0"/>
          <w:numId w:val="0"/>
        </w:numPr>
        <w:ind w:leftChars="0"/>
        <w:jc w:val="both"/>
        <w:rPr>
          <w:rFonts w:hint="eastAsia"/>
          <w:b/>
          <w:bCs/>
          <w:sz w:val="22"/>
          <w:szCs w:val="28"/>
          <w:lang w:val="en-US" w:eastAsia="zh-CN"/>
        </w:rPr>
      </w:pPr>
      <w:r>
        <w:rPr>
          <w:rFonts w:hint="eastAsia"/>
          <w:b/>
          <w:bCs/>
          <w:sz w:val="22"/>
          <w:szCs w:val="28"/>
          <w:lang w:val="en-US" w:eastAsia="zh-CN"/>
        </w:rPr>
        <w:t>二、出现hash键冲突如何处理：</w:t>
      </w:r>
    </w:p>
    <w:p>
      <w:pPr>
        <w:jc w:val="both"/>
        <w:rPr>
          <w:rFonts w:hint="eastAsia"/>
          <w:b w:val="0"/>
          <w:bCs w:val="0"/>
          <w:sz w:val="21"/>
          <w:szCs w:val="21"/>
          <w:lang w:val="en-US" w:eastAsia="zh-CN"/>
        </w:rPr>
      </w:pPr>
      <w:r>
        <w:rPr>
          <w:rFonts w:hint="eastAsia"/>
          <w:b w:val="0"/>
          <w:bCs w:val="0"/>
          <w:sz w:val="21"/>
          <w:szCs w:val="21"/>
          <w:lang w:val="en-US" w:eastAsia="zh-CN"/>
        </w:rPr>
        <w:t>1.Hash键冲突是因为由于两个不同的键Key经过hash函数计算产生了两个相同的哈希值被映射到哈希表的同一位置。哈希表是通过哈希值来快速定位Value的。</w:t>
      </w:r>
    </w:p>
    <w:p>
      <w:pPr>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2.处理策略：</w:t>
      </w:r>
    </w:p>
    <w:p>
      <w:pPr>
        <w:jc w:val="both"/>
        <w:rPr>
          <w:rFonts w:hint="eastAsia"/>
          <w:b w:val="0"/>
          <w:bCs w:val="0"/>
          <w:sz w:val="21"/>
          <w:szCs w:val="21"/>
          <w:lang w:val="en-US" w:eastAsia="zh-CN"/>
        </w:rPr>
      </w:pPr>
      <w:r>
        <w:rPr>
          <w:rFonts w:hint="eastAsia"/>
          <w:b w:val="0"/>
          <w:bCs w:val="0"/>
          <w:sz w:val="21"/>
          <w:szCs w:val="21"/>
          <w:lang w:val="en-US" w:eastAsia="zh-CN"/>
        </w:rPr>
        <w:t>（1）分离链接法：</w:t>
      </w:r>
    </w:p>
    <w:p>
      <w:pPr>
        <w:jc w:val="both"/>
        <w:rPr>
          <w:rFonts w:hint="eastAsia"/>
          <w:b w:val="0"/>
          <w:bCs w:val="0"/>
          <w:sz w:val="21"/>
          <w:szCs w:val="21"/>
          <w:lang w:val="en-US" w:eastAsia="zh-CN"/>
        </w:rPr>
      </w:pPr>
      <w:r>
        <w:rPr>
          <w:rFonts w:hint="eastAsia"/>
          <w:b w:val="0"/>
          <w:bCs w:val="0"/>
          <w:sz w:val="21"/>
          <w:szCs w:val="21"/>
          <w:lang w:val="en-US" w:eastAsia="zh-CN"/>
        </w:rPr>
        <w:t>使用链表或其他数据结构来存储冲突的键值对。当发生哈希冲突时，将冲突的键值对添加到对应位置的链表中。这种方法可以有效地处理冲突，但会增加额外的内存开销。</w:t>
      </w:r>
    </w:p>
    <w:p>
      <w:pPr>
        <w:jc w:val="both"/>
        <w:rPr>
          <w:rFonts w:hint="eastAsia"/>
          <w:b w:val="0"/>
          <w:bCs w:val="0"/>
          <w:sz w:val="21"/>
          <w:szCs w:val="21"/>
          <w:lang w:val="en-US" w:eastAsia="zh-CN"/>
        </w:rPr>
      </w:pPr>
    </w:p>
    <w:p>
      <w:pPr>
        <w:numPr>
          <w:ilvl w:val="0"/>
          <w:numId w:val="1"/>
        </w:numPr>
        <w:jc w:val="both"/>
        <w:rPr>
          <w:rFonts w:hint="eastAsia"/>
          <w:b w:val="0"/>
          <w:bCs w:val="0"/>
          <w:sz w:val="21"/>
          <w:szCs w:val="21"/>
          <w:lang w:val="en-US" w:eastAsia="zh-CN"/>
        </w:rPr>
      </w:pPr>
      <w:r>
        <w:rPr>
          <w:rFonts w:hint="eastAsia"/>
          <w:b w:val="0"/>
          <w:bCs w:val="0"/>
          <w:sz w:val="21"/>
          <w:szCs w:val="21"/>
          <w:lang w:val="en-US" w:eastAsia="zh-CN"/>
        </w:rPr>
        <w:t>开发寻址法：</w:t>
      </w:r>
    </w:p>
    <w:p>
      <w:pPr>
        <w:numPr>
          <w:numId w:val="0"/>
        </w:numPr>
        <w:jc w:val="both"/>
        <w:rPr>
          <w:rFonts w:hint="eastAsia"/>
          <w:b w:val="0"/>
          <w:bCs w:val="0"/>
          <w:sz w:val="21"/>
          <w:szCs w:val="21"/>
          <w:lang w:val="en-US" w:eastAsia="zh-CN"/>
        </w:rPr>
      </w:pPr>
      <w:r>
        <w:rPr>
          <w:rFonts w:hint="default"/>
          <w:b w:val="0"/>
          <w:bCs w:val="0"/>
          <w:sz w:val="21"/>
          <w:szCs w:val="21"/>
          <w:lang w:val="en-US" w:eastAsia="zh-CN"/>
        </w:rPr>
        <w:t>当键冲突发生时，通过一定的探测方式（如线性探测、</w:t>
      </w:r>
      <w:r>
        <w:rPr>
          <w:rFonts w:hint="eastAsia"/>
          <w:b w:val="0"/>
          <w:bCs w:val="0"/>
          <w:sz w:val="21"/>
          <w:szCs w:val="21"/>
          <w:lang w:val="en-US" w:eastAsia="zh-CN"/>
        </w:rPr>
        <w:t>平方</w:t>
      </w:r>
      <w:r>
        <w:rPr>
          <w:rFonts w:hint="default"/>
          <w:b w:val="0"/>
          <w:bCs w:val="0"/>
          <w:sz w:val="21"/>
          <w:szCs w:val="21"/>
          <w:lang w:val="en-US" w:eastAsia="zh-CN"/>
        </w:rPr>
        <w:t>探测等）来寻找下一个可用的槽位。可以减少额外的内存开销，但可能导致聚集现象和性能损失</w:t>
      </w:r>
      <w:r>
        <w:rPr>
          <w:rFonts w:hint="eastAsia"/>
          <w:b w:val="0"/>
          <w:bCs w:val="0"/>
          <w:sz w:val="21"/>
          <w:szCs w:val="21"/>
          <w:lang w:val="en-US" w:eastAsia="zh-CN"/>
        </w:rPr>
        <w:t>。</w:t>
      </w:r>
    </w:p>
    <w:p>
      <w:pPr>
        <w:numPr>
          <w:numId w:val="0"/>
        </w:numPr>
        <w:jc w:val="both"/>
        <w:rPr>
          <w:rFonts w:hint="eastAsia"/>
          <w:b w:val="0"/>
          <w:bCs w:val="0"/>
          <w:sz w:val="21"/>
          <w:szCs w:val="21"/>
          <w:lang w:val="en-US" w:eastAsia="zh-CN"/>
        </w:rPr>
      </w:pP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线性探测：</w:t>
      </w:r>
    </w:p>
    <w:p>
      <w:pPr>
        <w:numPr>
          <w:numId w:val="0"/>
        </w:numPr>
        <w:jc w:val="both"/>
        <w:rPr>
          <w:rFonts w:hint="default"/>
          <w:b w:val="0"/>
          <w:bCs w:val="0"/>
          <w:sz w:val="21"/>
          <w:szCs w:val="21"/>
          <w:lang w:val="en-US" w:eastAsia="zh-CN"/>
        </w:rPr>
      </w:pPr>
      <w:r>
        <w:rPr>
          <w:rFonts w:hint="eastAsia"/>
          <w:b w:val="0"/>
          <w:bCs w:val="0"/>
          <w:sz w:val="21"/>
          <w:szCs w:val="21"/>
          <w:lang w:val="en-US" w:eastAsia="zh-CN"/>
        </w:rPr>
        <w:t>插入</w:t>
      </w:r>
      <w:r>
        <w:rPr>
          <w:rFonts w:hint="default"/>
          <w:b w:val="0"/>
          <w:bCs w:val="0"/>
          <w:sz w:val="21"/>
          <w:szCs w:val="21"/>
          <w:lang w:val="en-US" w:eastAsia="zh-CN"/>
        </w:rPr>
        <w:t>[</w:t>
      </w:r>
      <w:r>
        <w:rPr>
          <w:rFonts w:hint="eastAsia"/>
          <w:b w:val="0"/>
          <w:bCs w:val="0"/>
          <w:sz w:val="21"/>
          <w:szCs w:val="21"/>
          <w:lang w:val="en-US" w:eastAsia="zh-CN"/>
        </w:rPr>
        <w:t>64，63，54，32，31</w:t>
      </w:r>
      <w:r>
        <w:rPr>
          <w:rFonts w:hint="default"/>
          <w:b w:val="0"/>
          <w:bCs w:val="0"/>
          <w:sz w:val="21"/>
          <w:szCs w:val="21"/>
          <w:lang w:val="en-US" w:eastAsia="zh-C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6"/>
        <w:gridCol w:w="1216"/>
        <w:gridCol w:w="1216"/>
        <w:gridCol w:w="1217"/>
        <w:gridCol w:w="1217"/>
        <w:gridCol w:w="1217"/>
        <w:gridCol w:w="1217"/>
      </w:tblGrid>
      <w:tr>
        <w:tc>
          <w:tcPr>
            <w:tcW w:w="1216" w:type="dxa"/>
          </w:tcPr>
          <w:p>
            <w:pPr>
              <w:numPr>
                <w:numId w:val="0"/>
              </w:numPr>
              <w:jc w:val="both"/>
              <w:rPr>
                <w:rFonts w:hint="eastAsia"/>
                <w:b w:val="0"/>
                <w:bCs w:val="0"/>
                <w:sz w:val="21"/>
                <w:szCs w:val="21"/>
                <w:vertAlign w:val="baseline"/>
                <w:lang w:val="en-US" w:eastAsia="zh-CN"/>
              </w:rPr>
            </w:pPr>
          </w:p>
        </w:tc>
        <w:tc>
          <w:tcPr>
            <w:tcW w:w="1216"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空表</w:t>
            </w:r>
          </w:p>
        </w:tc>
        <w:tc>
          <w:tcPr>
            <w:tcW w:w="1216"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插入64</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插入63</w:t>
            </w:r>
          </w:p>
        </w:tc>
        <w:tc>
          <w:tcPr>
            <w:tcW w:w="1217" w:type="dxa"/>
            <w:shd w:val="clear" w:color="auto" w:fill="FFFF00"/>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插入54</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插入32</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插入31</w:t>
            </w:r>
          </w:p>
        </w:tc>
      </w:tr>
      <w:tr>
        <w:tc>
          <w:tcPr>
            <w:tcW w:w="1216"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1216" w:type="dxa"/>
          </w:tcPr>
          <w:p>
            <w:pPr>
              <w:numPr>
                <w:numId w:val="0"/>
              </w:numPr>
              <w:jc w:val="both"/>
              <w:rPr>
                <w:rFonts w:hint="eastAsia"/>
                <w:b w:val="0"/>
                <w:bCs w:val="0"/>
                <w:sz w:val="21"/>
                <w:szCs w:val="21"/>
                <w:vertAlign w:val="baseline"/>
                <w:lang w:val="en-US" w:eastAsia="zh-CN"/>
              </w:rPr>
            </w:pPr>
          </w:p>
        </w:tc>
        <w:tc>
          <w:tcPr>
            <w:tcW w:w="1216"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54</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54</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54</w:t>
            </w:r>
          </w:p>
        </w:tc>
      </w:tr>
      <w:tr>
        <w:tc>
          <w:tcPr>
            <w:tcW w:w="1216"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1216" w:type="dxa"/>
          </w:tcPr>
          <w:p>
            <w:pPr>
              <w:numPr>
                <w:numId w:val="0"/>
              </w:numPr>
              <w:jc w:val="both"/>
              <w:rPr>
                <w:rFonts w:hint="eastAsia"/>
                <w:b w:val="0"/>
                <w:bCs w:val="0"/>
                <w:sz w:val="21"/>
                <w:szCs w:val="21"/>
                <w:vertAlign w:val="baseline"/>
                <w:lang w:val="en-US" w:eastAsia="zh-CN"/>
              </w:rPr>
            </w:pPr>
          </w:p>
        </w:tc>
        <w:tc>
          <w:tcPr>
            <w:tcW w:w="1216"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31</w:t>
            </w:r>
          </w:p>
        </w:tc>
      </w:tr>
      <w:tr>
        <w:tc>
          <w:tcPr>
            <w:tcW w:w="1216"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2</w:t>
            </w:r>
          </w:p>
        </w:tc>
        <w:tc>
          <w:tcPr>
            <w:tcW w:w="1216" w:type="dxa"/>
          </w:tcPr>
          <w:p>
            <w:pPr>
              <w:numPr>
                <w:numId w:val="0"/>
              </w:numPr>
              <w:jc w:val="both"/>
              <w:rPr>
                <w:rFonts w:hint="eastAsia"/>
                <w:b w:val="0"/>
                <w:bCs w:val="0"/>
                <w:sz w:val="21"/>
                <w:szCs w:val="21"/>
                <w:vertAlign w:val="baseline"/>
                <w:lang w:val="en-US" w:eastAsia="zh-CN"/>
              </w:rPr>
            </w:pPr>
          </w:p>
        </w:tc>
        <w:tc>
          <w:tcPr>
            <w:tcW w:w="1216"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32</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32</w:t>
            </w:r>
          </w:p>
        </w:tc>
      </w:tr>
      <w:tr>
        <w:tc>
          <w:tcPr>
            <w:tcW w:w="1216"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w:t>
            </w:r>
          </w:p>
        </w:tc>
        <w:tc>
          <w:tcPr>
            <w:tcW w:w="1216" w:type="dxa"/>
          </w:tcPr>
          <w:p>
            <w:pPr>
              <w:numPr>
                <w:numId w:val="0"/>
              </w:numPr>
              <w:jc w:val="both"/>
              <w:rPr>
                <w:rFonts w:hint="eastAsia"/>
                <w:b w:val="0"/>
                <w:bCs w:val="0"/>
                <w:sz w:val="21"/>
                <w:szCs w:val="21"/>
                <w:vertAlign w:val="baseline"/>
                <w:lang w:val="en-US" w:eastAsia="zh-CN"/>
              </w:rPr>
            </w:pPr>
          </w:p>
        </w:tc>
        <w:tc>
          <w:tcPr>
            <w:tcW w:w="1216" w:type="dxa"/>
          </w:tcPr>
          <w:p>
            <w:pPr>
              <w:numPr>
                <w:numId w:val="0"/>
              </w:numPr>
              <w:jc w:val="both"/>
              <w:rPr>
                <w:rFonts w:hint="eastAsia"/>
                <w:b w:val="0"/>
                <w:bCs w:val="0"/>
                <w:sz w:val="21"/>
                <w:szCs w:val="21"/>
                <w:vertAlign w:val="baseline"/>
                <w:lang w:val="en-US" w:eastAsia="zh-CN"/>
              </w:rPr>
            </w:pP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63</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63</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63</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63</w:t>
            </w:r>
          </w:p>
        </w:tc>
      </w:tr>
      <w:tr>
        <w:tc>
          <w:tcPr>
            <w:tcW w:w="1216"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1216" w:type="dxa"/>
          </w:tcPr>
          <w:p>
            <w:pPr>
              <w:numPr>
                <w:numId w:val="0"/>
              </w:numPr>
              <w:jc w:val="both"/>
              <w:rPr>
                <w:rFonts w:hint="default"/>
                <w:b w:val="0"/>
                <w:bCs w:val="0"/>
                <w:sz w:val="21"/>
                <w:szCs w:val="21"/>
                <w:vertAlign w:val="baseline"/>
                <w:lang w:val="en-US" w:eastAsia="zh-CN"/>
              </w:rPr>
            </w:pPr>
          </w:p>
        </w:tc>
        <w:tc>
          <w:tcPr>
            <w:tcW w:w="1216"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64</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64</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64</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64</w:t>
            </w:r>
          </w:p>
        </w:tc>
        <w:tc>
          <w:tcPr>
            <w:tcW w:w="1217" w:type="dxa"/>
          </w:tcPr>
          <w:p>
            <w:pPr>
              <w:numPr>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64</w:t>
            </w:r>
          </w:p>
        </w:tc>
      </w:tr>
    </w:tbl>
    <w:p>
      <w:pPr>
        <w:numPr>
          <w:numId w:val="0"/>
        </w:numPr>
        <w:jc w:val="both"/>
        <w:rPr>
          <w:rFonts w:hint="eastAsia"/>
          <w:b w:val="0"/>
          <w:bCs w:val="0"/>
          <w:sz w:val="21"/>
          <w:szCs w:val="21"/>
          <w:lang w:val="en-US" w:eastAsia="zh-CN"/>
        </w:rPr>
      </w:pPr>
    </w:p>
    <w:p>
      <w:pPr>
        <w:numPr>
          <w:numId w:val="0"/>
        </w:numPr>
        <w:jc w:val="both"/>
        <w:rPr>
          <w:rFonts w:hint="default"/>
          <w:b w:val="0"/>
          <w:bCs w:val="0"/>
          <w:sz w:val="21"/>
          <w:szCs w:val="21"/>
          <w:lang w:val="en-US" w:eastAsia="zh-CN"/>
        </w:rPr>
      </w:pPr>
      <w:r>
        <w:rPr>
          <w:rFonts w:hint="eastAsia"/>
          <w:b w:val="0"/>
          <w:bCs w:val="0"/>
          <w:sz w:val="21"/>
          <w:szCs w:val="21"/>
          <w:lang w:val="en-US" w:eastAsia="zh-CN"/>
        </w:rPr>
        <w:t>插入54的时候在64后按顺序插入。</w:t>
      </w:r>
    </w:p>
    <w:p>
      <w:pPr>
        <w:numPr>
          <w:numId w:val="0"/>
        </w:numPr>
        <w:jc w:val="both"/>
        <w:rPr>
          <w:rFonts w:hint="eastAsia"/>
          <w:b w:val="0"/>
          <w:bCs w:val="0"/>
          <w:sz w:val="21"/>
          <w:szCs w:val="21"/>
          <w:lang w:val="en-US" w:eastAsia="zh-CN"/>
        </w:rPr>
      </w:pPr>
    </w:p>
    <w:p>
      <w:pPr>
        <w:numPr>
          <w:ilvl w:val="0"/>
          <w:numId w:val="2"/>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平方探测：</w:t>
      </w:r>
    </w:p>
    <w:p>
      <w:pPr>
        <w:numPr>
          <w:ilvl w:val="0"/>
          <w:numId w:val="2"/>
        </w:numPr>
        <w:ind w:left="0" w:leftChars="0" w:firstLine="0" w:firstLineChars="0"/>
        <w:jc w:val="both"/>
        <w:rPr>
          <w:rFonts w:hint="eastAsia"/>
          <w:b w:val="0"/>
          <w:bCs w:val="0"/>
          <w:sz w:val="21"/>
          <w:szCs w:val="21"/>
          <w:lang w:val="en-US" w:eastAsia="zh-CN"/>
        </w:rPr>
      </w:pPr>
      <w:r>
        <w:rPr>
          <w:rFonts w:hint="default"/>
          <w:b w:val="0"/>
          <w:bCs w:val="0"/>
          <w:sz w:val="21"/>
          <w:szCs w:val="21"/>
          <w:lang w:val="en-US" w:eastAsia="zh-CN"/>
        </w:rPr>
        <w:t>[</w:t>
      </w:r>
      <w:r>
        <w:rPr>
          <w:rFonts w:hint="eastAsia"/>
          <w:b w:val="0"/>
          <w:bCs w:val="0"/>
          <w:sz w:val="21"/>
          <w:szCs w:val="21"/>
          <w:lang w:val="en-US" w:eastAsia="zh-CN"/>
        </w:rPr>
        <w:t>64，63，54，34，32，31</w:t>
      </w:r>
      <w:r>
        <w:rPr>
          <w:rFonts w:hint="default"/>
          <w:b w:val="0"/>
          <w:bCs w:val="0"/>
          <w:sz w:val="21"/>
          <w:szCs w:val="21"/>
          <w:lang w:val="en-US" w:eastAsia="zh-C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1064"/>
        <w:gridCol w:w="1064"/>
        <w:gridCol w:w="1065"/>
        <w:gridCol w:w="1065"/>
        <w:gridCol w:w="1065"/>
        <w:gridCol w:w="1065"/>
        <w:gridCol w:w="1065"/>
      </w:tblGrid>
      <w:tr>
        <w:tc>
          <w:tcPr>
            <w:tcW w:w="1064" w:type="dxa"/>
          </w:tcPr>
          <w:p>
            <w:pPr>
              <w:numPr>
                <w:ilvl w:val="0"/>
                <w:numId w:val="0"/>
              </w:numPr>
              <w:jc w:val="both"/>
              <w:rPr>
                <w:rFonts w:hint="eastAsia"/>
                <w:b w:val="0"/>
                <w:bCs w:val="0"/>
                <w:sz w:val="21"/>
                <w:szCs w:val="21"/>
                <w:vertAlign w:val="baseline"/>
                <w:lang w:val="en-US" w:eastAsia="zh-CN"/>
              </w:rPr>
            </w:pPr>
          </w:p>
        </w:tc>
        <w:tc>
          <w:tcPr>
            <w:tcW w:w="1064"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空表</w:t>
            </w:r>
          </w:p>
        </w:tc>
        <w:tc>
          <w:tcPr>
            <w:tcW w:w="1064"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插入64</w:t>
            </w:r>
          </w:p>
        </w:tc>
        <w:tc>
          <w:tcPr>
            <w:tcW w:w="1065" w:type="dxa"/>
            <w:vAlign w:val="top"/>
          </w:tcPr>
          <w:p>
            <w:pPr>
              <w:numPr>
                <w:ilvl w:val="0"/>
                <w:numId w:val="0"/>
              </w:numPr>
              <w:ind w:left="0" w:leftChars="0" w:firstLine="0" w:firstLineChars="0"/>
              <w:jc w:val="both"/>
              <w:rPr>
                <w:rFonts w:hint="default"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插入54</w:t>
            </w:r>
          </w:p>
        </w:tc>
        <w:tc>
          <w:tcPr>
            <w:tcW w:w="1065" w:type="dxa"/>
            <w:shd w:val="clear" w:color="auto" w:fill="FFFF00"/>
            <w:vAlign w:val="top"/>
          </w:tcPr>
          <w:p>
            <w:pPr>
              <w:numPr>
                <w:ilvl w:val="0"/>
                <w:numId w:val="0"/>
              </w:numPr>
              <w:ind w:left="0" w:leftChars="0" w:firstLine="0" w:firstLineChars="0"/>
              <w:jc w:val="both"/>
              <w:rPr>
                <w:rFonts w:hint="default" w:asciiTheme="minorHAnsi" w:hAnsiTheme="minorHAnsi" w:eastAsiaTheme="minorEastAsia" w:cstheme="minorBidi"/>
                <w:b w:val="0"/>
                <w:bCs w:val="0"/>
                <w:color w:val="auto"/>
                <w:kern w:val="2"/>
                <w:sz w:val="21"/>
                <w:szCs w:val="21"/>
                <w:highlight w:val="none"/>
                <w:vertAlign w:val="baseline"/>
                <w:lang w:val="en-US" w:eastAsia="zh-CN" w:bidi="ar-SA"/>
              </w:rPr>
            </w:pPr>
            <w:r>
              <w:rPr>
                <w:rFonts w:hint="eastAsia"/>
                <w:b w:val="0"/>
                <w:bCs w:val="0"/>
                <w:color w:val="auto"/>
                <w:sz w:val="21"/>
                <w:szCs w:val="21"/>
                <w:highlight w:val="none"/>
                <w:vertAlign w:val="baseline"/>
                <w:lang w:val="en-US" w:eastAsia="zh-CN"/>
              </w:rPr>
              <w:t>插入34</w:t>
            </w:r>
          </w:p>
        </w:tc>
        <w:tc>
          <w:tcPr>
            <w:tcW w:w="1065" w:type="dxa"/>
            <w:vAlign w:val="top"/>
          </w:tcPr>
          <w:p>
            <w:pPr>
              <w:numPr>
                <w:ilvl w:val="0"/>
                <w:numId w:val="0"/>
              </w:numPr>
              <w:ind w:left="0" w:leftChars="0" w:firstLine="0" w:firstLineChars="0"/>
              <w:jc w:val="both"/>
              <w:rPr>
                <w:rFonts w:hint="default"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插入32</w:t>
            </w:r>
          </w:p>
        </w:tc>
        <w:tc>
          <w:tcPr>
            <w:tcW w:w="1065" w:type="dxa"/>
            <w:vAlign w:val="top"/>
          </w:tcPr>
          <w:p>
            <w:pPr>
              <w:numPr>
                <w:ilvl w:val="0"/>
                <w:numId w:val="0"/>
              </w:numPr>
              <w:ind w:left="0" w:leftChars="0" w:firstLine="0" w:firstLineChars="0"/>
              <w:jc w:val="both"/>
              <w:rPr>
                <w:rFonts w:hint="default"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插入31</w:t>
            </w:r>
          </w:p>
        </w:tc>
        <w:tc>
          <w:tcPr>
            <w:tcW w:w="1065" w:type="dxa"/>
          </w:tcPr>
          <w:p>
            <w:pPr>
              <w:numPr>
                <w:ilvl w:val="0"/>
                <w:numId w:val="0"/>
              </w:numPr>
              <w:jc w:val="both"/>
              <w:rPr>
                <w:rFonts w:hint="default"/>
                <w:b w:val="0"/>
                <w:bCs w:val="0"/>
                <w:sz w:val="21"/>
                <w:szCs w:val="21"/>
                <w:vertAlign w:val="baseline"/>
                <w:lang w:val="en-US" w:eastAsia="zh-CN"/>
              </w:rPr>
            </w:pPr>
          </w:p>
        </w:tc>
      </w:tr>
      <w:tr>
        <w:tc>
          <w:tcPr>
            <w:tcW w:w="1064"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1064" w:type="dxa"/>
          </w:tcPr>
          <w:p>
            <w:pPr>
              <w:numPr>
                <w:ilvl w:val="0"/>
                <w:numId w:val="0"/>
              </w:numPr>
              <w:jc w:val="both"/>
              <w:rPr>
                <w:rFonts w:hint="eastAsia"/>
                <w:b w:val="0"/>
                <w:bCs w:val="0"/>
                <w:sz w:val="21"/>
                <w:szCs w:val="21"/>
                <w:vertAlign w:val="baseline"/>
                <w:lang w:val="en-US" w:eastAsia="zh-CN"/>
              </w:rPr>
            </w:pPr>
          </w:p>
        </w:tc>
        <w:tc>
          <w:tcPr>
            <w:tcW w:w="1064" w:type="dxa"/>
          </w:tcPr>
          <w:p>
            <w:pPr>
              <w:numPr>
                <w:ilvl w:val="0"/>
                <w:numId w:val="0"/>
              </w:numPr>
              <w:jc w:val="both"/>
              <w:rPr>
                <w:rFonts w:hint="eastAsia"/>
                <w:b w:val="0"/>
                <w:bCs w:val="0"/>
                <w:sz w:val="21"/>
                <w:szCs w:val="21"/>
                <w:vertAlign w:val="baseline"/>
                <w:lang w:val="en-US" w:eastAsia="zh-CN"/>
              </w:rPr>
            </w:pPr>
          </w:p>
        </w:tc>
        <w:tc>
          <w:tcPr>
            <w:tcW w:w="1065" w:type="dxa"/>
          </w:tcPr>
          <w:p>
            <w:pPr>
              <w:numPr>
                <w:ilvl w:val="0"/>
                <w:numId w:val="0"/>
              </w:numPr>
              <w:jc w:val="both"/>
              <w:rPr>
                <w:rFonts w:hint="eastAsia"/>
                <w:b w:val="0"/>
                <w:bCs w:val="0"/>
                <w:sz w:val="21"/>
                <w:szCs w:val="21"/>
                <w:vertAlign w:val="baseline"/>
                <w:lang w:val="en-US" w:eastAsia="zh-CN"/>
              </w:rPr>
            </w:pPr>
          </w:p>
        </w:tc>
        <w:tc>
          <w:tcPr>
            <w:tcW w:w="1065" w:type="dxa"/>
            <w:shd w:val="clear" w:color="auto" w:fill="92D050"/>
          </w:tcPr>
          <w:p>
            <w:pPr>
              <w:numPr>
                <w:ilvl w:val="0"/>
                <w:numId w:val="0"/>
              </w:numPr>
              <w:jc w:val="both"/>
              <w:rPr>
                <w:rFonts w:hint="default"/>
                <w:b w:val="0"/>
                <w:bCs w:val="0"/>
                <w:color w:val="auto"/>
                <w:sz w:val="21"/>
                <w:szCs w:val="21"/>
                <w:highlight w:val="none"/>
                <w:vertAlign w:val="baseline"/>
                <w:lang w:val="en-US" w:eastAsia="zh-CN"/>
              </w:rPr>
            </w:pPr>
            <w:r>
              <w:rPr>
                <w:rFonts w:hint="eastAsia"/>
                <w:b w:val="0"/>
                <w:bCs w:val="0"/>
                <w:color w:val="auto"/>
                <w:sz w:val="21"/>
                <w:szCs w:val="21"/>
                <w:highlight w:val="none"/>
                <w:vertAlign w:val="baseline"/>
                <w:lang w:val="en-US" w:eastAsia="zh-CN"/>
              </w:rPr>
              <w:t>54</w:t>
            </w: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54</w:t>
            </w: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54</w:t>
            </w:r>
          </w:p>
        </w:tc>
        <w:tc>
          <w:tcPr>
            <w:tcW w:w="1065" w:type="dxa"/>
          </w:tcPr>
          <w:p>
            <w:pPr>
              <w:numPr>
                <w:ilvl w:val="0"/>
                <w:numId w:val="0"/>
              </w:numPr>
              <w:jc w:val="both"/>
              <w:rPr>
                <w:rFonts w:hint="eastAsia"/>
                <w:b w:val="0"/>
                <w:bCs w:val="0"/>
                <w:sz w:val="21"/>
                <w:szCs w:val="21"/>
                <w:vertAlign w:val="baseline"/>
                <w:lang w:val="en-US" w:eastAsia="zh-CN"/>
              </w:rPr>
            </w:pPr>
          </w:p>
        </w:tc>
      </w:tr>
      <w:tr>
        <w:tc>
          <w:tcPr>
            <w:tcW w:w="1064"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1064" w:type="dxa"/>
          </w:tcPr>
          <w:p>
            <w:pPr>
              <w:numPr>
                <w:ilvl w:val="0"/>
                <w:numId w:val="0"/>
              </w:numPr>
              <w:jc w:val="both"/>
              <w:rPr>
                <w:rFonts w:hint="eastAsia"/>
                <w:b w:val="0"/>
                <w:bCs w:val="0"/>
                <w:sz w:val="21"/>
                <w:szCs w:val="21"/>
                <w:vertAlign w:val="baseline"/>
                <w:lang w:val="en-US" w:eastAsia="zh-CN"/>
              </w:rPr>
            </w:pPr>
          </w:p>
        </w:tc>
        <w:tc>
          <w:tcPr>
            <w:tcW w:w="1064" w:type="dxa"/>
          </w:tcPr>
          <w:p>
            <w:pPr>
              <w:numPr>
                <w:ilvl w:val="0"/>
                <w:numId w:val="0"/>
              </w:numPr>
              <w:jc w:val="both"/>
              <w:rPr>
                <w:rFonts w:hint="eastAsia"/>
                <w:b w:val="0"/>
                <w:bCs w:val="0"/>
                <w:sz w:val="21"/>
                <w:szCs w:val="21"/>
                <w:vertAlign w:val="baseline"/>
                <w:lang w:val="en-US" w:eastAsia="zh-CN"/>
              </w:rPr>
            </w:pPr>
          </w:p>
        </w:tc>
        <w:tc>
          <w:tcPr>
            <w:tcW w:w="1065" w:type="dxa"/>
          </w:tcPr>
          <w:p>
            <w:pPr>
              <w:numPr>
                <w:ilvl w:val="0"/>
                <w:numId w:val="0"/>
              </w:numPr>
              <w:jc w:val="both"/>
              <w:rPr>
                <w:rFonts w:hint="eastAsia"/>
                <w:b w:val="0"/>
                <w:bCs w:val="0"/>
                <w:sz w:val="21"/>
                <w:szCs w:val="21"/>
                <w:vertAlign w:val="baseline"/>
                <w:lang w:val="en-US" w:eastAsia="zh-CN"/>
              </w:rPr>
            </w:pPr>
          </w:p>
        </w:tc>
        <w:tc>
          <w:tcPr>
            <w:tcW w:w="1065" w:type="dxa"/>
            <w:shd w:val="clear" w:color="auto" w:fill="92D050"/>
          </w:tcPr>
          <w:p>
            <w:pPr>
              <w:numPr>
                <w:ilvl w:val="0"/>
                <w:numId w:val="0"/>
              </w:numPr>
              <w:jc w:val="both"/>
              <w:rPr>
                <w:rFonts w:hint="eastAsia"/>
                <w:b w:val="0"/>
                <w:bCs w:val="0"/>
                <w:color w:val="auto"/>
                <w:sz w:val="21"/>
                <w:szCs w:val="21"/>
                <w:highlight w:val="none"/>
                <w:vertAlign w:val="baseline"/>
                <w:lang w:val="en-US" w:eastAsia="zh-CN"/>
              </w:rPr>
            </w:pP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31</w:t>
            </w: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31</w:t>
            </w:r>
          </w:p>
        </w:tc>
        <w:tc>
          <w:tcPr>
            <w:tcW w:w="1065" w:type="dxa"/>
          </w:tcPr>
          <w:p>
            <w:pPr>
              <w:numPr>
                <w:ilvl w:val="0"/>
                <w:numId w:val="0"/>
              </w:numPr>
              <w:jc w:val="both"/>
              <w:rPr>
                <w:rFonts w:hint="eastAsia"/>
                <w:b w:val="0"/>
                <w:bCs w:val="0"/>
                <w:sz w:val="21"/>
                <w:szCs w:val="21"/>
                <w:vertAlign w:val="baseline"/>
                <w:lang w:val="en-US" w:eastAsia="zh-CN"/>
              </w:rPr>
            </w:pPr>
          </w:p>
        </w:tc>
      </w:tr>
      <w:tr>
        <w:tc>
          <w:tcPr>
            <w:tcW w:w="1064"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2</w:t>
            </w:r>
          </w:p>
        </w:tc>
        <w:tc>
          <w:tcPr>
            <w:tcW w:w="1064" w:type="dxa"/>
          </w:tcPr>
          <w:p>
            <w:pPr>
              <w:numPr>
                <w:ilvl w:val="0"/>
                <w:numId w:val="0"/>
              </w:numPr>
              <w:jc w:val="both"/>
              <w:rPr>
                <w:rFonts w:hint="eastAsia"/>
                <w:b w:val="0"/>
                <w:bCs w:val="0"/>
                <w:sz w:val="21"/>
                <w:szCs w:val="21"/>
                <w:vertAlign w:val="baseline"/>
                <w:lang w:val="en-US" w:eastAsia="zh-CN"/>
              </w:rPr>
            </w:pPr>
          </w:p>
        </w:tc>
        <w:tc>
          <w:tcPr>
            <w:tcW w:w="1064" w:type="dxa"/>
          </w:tcPr>
          <w:p>
            <w:pPr>
              <w:numPr>
                <w:ilvl w:val="0"/>
                <w:numId w:val="0"/>
              </w:numPr>
              <w:jc w:val="both"/>
              <w:rPr>
                <w:rFonts w:hint="eastAsia"/>
                <w:b w:val="0"/>
                <w:bCs w:val="0"/>
                <w:sz w:val="21"/>
                <w:szCs w:val="21"/>
                <w:vertAlign w:val="baseline"/>
                <w:lang w:val="en-US" w:eastAsia="zh-CN"/>
              </w:rPr>
            </w:pPr>
          </w:p>
        </w:tc>
        <w:tc>
          <w:tcPr>
            <w:tcW w:w="1065" w:type="dxa"/>
          </w:tcPr>
          <w:p>
            <w:pPr>
              <w:numPr>
                <w:ilvl w:val="0"/>
                <w:numId w:val="0"/>
              </w:numPr>
              <w:jc w:val="both"/>
              <w:rPr>
                <w:rFonts w:hint="eastAsia"/>
                <w:b w:val="0"/>
                <w:bCs w:val="0"/>
                <w:sz w:val="21"/>
                <w:szCs w:val="21"/>
                <w:vertAlign w:val="baseline"/>
                <w:lang w:val="en-US" w:eastAsia="zh-CN"/>
              </w:rPr>
            </w:pPr>
          </w:p>
        </w:tc>
        <w:tc>
          <w:tcPr>
            <w:tcW w:w="1065" w:type="dxa"/>
            <w:shd w:val="clear" w:color="auto" w:fill="92D050"/>
          </w:tcPr>
          <w:p>
            <w:pPr>
              <w:numPr>
                <w:ilvl w:val="0"/>
                <w:numId w:val="0"/>
              </w:numPr>
              <w:jc w:val="both"/>
              <w:rPr>
                <w:rFonts w:hint="eastAsia"/>
                <w:b w:val="0"/>
                <w:bCs w:val="0"/>
                <w:color w:val="auto"/>
                <w:sz w:val="21"/>
                <w:szCs w:val="21"/>
                <w:highlight w:val="none"/>
                <w:vertAlign w:val="baseline"/>
                <w:lang w:val="en-US" w:eastAsia="zh-CN"/>
              </w:rPr>
            </w:pP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32</w:t>
            </w: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32</w:t>
            </w:r>
          </w:p>
        </w:tc>
        <w:tc>
          <w:tcPr>
            <w:tcW w:w="1065" w:type="dxa"/>
          </w:tcPr>
          <w:p>
            <w:pPr>
              <w:numPr>
                <w:ilvl w:val="0"/>
                <w:numId w:val="0"/>
              </w:numPr>
              <w:jc w:val="both"/>
              <w:rPr>
                <w:rFonts w:hint="eastAsia"/>
                <w:b w:val="0"/>
                <w:bCs w:val="0"/>
                <w:sz w:val="21"/>
                <w:szCs w:val="21"/>
                <w:vertAlign w:val="baseline"/>
                <w:lang w:val="en-US" w:eastAsia="zh-CN"/>
              </w:rPr>
            </w:pPr>
          </w:p>
        </w:tc>
      </w:tr>
      <w:tr>
        <w:tc>
          <w:tcPr>
            <w:tcW w:w="1064"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w:t>
            </w:r>
          </w:p>
        </w:tc>
        <w:tc>
          <w:tcPr>
            <w:tcW w:w="1064" w:type="dxa"/>
          </w:tcPr>
          <w:p>
            <w:pPr>
              <w:numPr>
                <w:ilvl w:val="0"/>
                <w:numId w:val="0"/>
              </w:numPr>
              <w:jc w:val="both"/>
              <w:rPr>
                <w:rFonts w:hint="eastAsia"/>
                <w:b w:val="0"/>
                <w:bCs w:val="0"/>
                <w:sz w:val="21"/>
                <w:szCs w:val="21"/>
                <w:vertAlign w:val="baseline"/>
                <w:lang w:val="en-US" w:eastAsia="zh-CN"/>
              </w:rPr>
            </w:pPr>
          </w:p>
        </w:tc>
        <w:tc>
          <w:tcPr>
            <w:tcW w:w="1064" w:type="dxa"/>
          </w:tcPr>
          <w:p>
            <w:pPr>
              <w:numPr>
                <w:ilvl w:val="0"/>
                <w:numId w:val="0"/>
              </w:numPr>
              <w:jc w:val="both"/>
              <w:rPr>
                <w:rFonts w:hint="eastAsia"/>
                <w:b w:val="0"/>
                <w:bCs w:val="0"/>
                <w:sz w:val="21"/>
                <w:szCs w:val="21"/>
                <w:vertAlign w:val="baseline"/>
                <w:lang w:val="en-US" w:eastAsia="zh-CN"/>
              </w:rPr>
            </w:pPr>
          </w:p>
        </w:tc>
        <w:tc>
          <w:tcPr>
            <w:tcW w:w="1065" w:type="dxa"/>
          </w:tcPr>
          <w:p>
            <w:pPr>
              <w:numPr>
                <w:ilvl w:val="0"/>
                <w:numId w:val="0"/>
              </w:numPr>
              <w:jc w:val="both"/>
              <w:rPr>
                <w:rFonts w:hint="default"/>
                <w:b w:val="0"/>
                <w:bCs w:val="0"/>
                <w:sz w:val="21"/>
                <w:szCs w:val="21"/>
                <w:vertAlign w:val="baseline"/>
                <w:lang w:val="en-US" w:eastAsia="zh-CN"/>
              </w:rPr>
            </w:pPr>
          </w:p>
        </w:tc>
        <w:tc>
          <w:tcPr>
            <w:tcW w:w="1065" w:type="dxa"/>
            <w:shd w:val="clear" w:color="auto" w:fill="92D050"/>
          </w:tcPr>
          <w:p>
            <w:pPr>
              <w:numPr>
                <w:ilvl w:val="0"/>
                <w:numId w:val="0"/>
              </w:numPr>
              <w:jc w:val="both"/>
              <w:rPr>
                <w:rFonts w:hint="default"/>
                <w:b w:val="0"/>
                <w:bCs w:val="0"/>
                <w:color w:val="auto"/>
                <w:sz w:val="21"/>
                <w:szCs w:val="21"/>
                <w:highlight w:val="none"/>
                <w:vertAlign w:val="baseline"/>
                <w:lang w:val="en-US" w:eastAsia="zh-CN"/>
              </w:rPr>
            </w:pPr>
            <w:r>
              <w:rPr>
                <w:rFonts w:hint="eastAsia"/>
                <w:b w:val="0"/>
                <w:bCs w:val="0"/>
                <w:color w:val="auto"/>
                <w:sz w:val="21"/>
                <w:szCs w:val="21"/>
                <w:highlight w:val="none"/>
                <w:vertAlign w:val="baseline"/>
                <w:lang w:val="en-US" w:eastAsia="zh-CN"/>
              </w:rPr>
              <w:t>34</w:t>
            </w: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34</w:t>
            </w: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34</w:t>
            </w:r>
          </w:p>
        </w:tc>
        <w:tc>
          <w:tcPr>
            <w:tcW w:w="1065" w:type="dxa"/>
          </w:tcPr>
          <w:p>
            <w:pPr>
              <w:numPr>
                <w:ilvl w:val="0"/>
                <w:numId w:val="0"/>
              </w:numPr>
              <w:jc w:val="both"/>
              <w:rPr>
                <w:rFonts w:hint="eastAsia"/>
                <w:b w:val="0"/>
                <w:bCs w:val="0"/>
                <w:sz w:val="21"/>
                <w:szCs w:val="21"/>
                <w:vertAlign w:val="baseline"/>
                <w:lang w:val="en-US" w:eastAsia="zh-CN"/>
              </w:rPr>
            </w:pPr>
          </w:p>
        </w:tc>
      </w:tr>
      <w:tr>
        <w:tc>
          <w:tcPr>
            <w:tcW w:w="1064"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1064" w:type="dxa"/>
          </w:tcPr>
          <w:p>
            <w:pPr>
              <w:numPr>
                <w:ilvl w:val="0"/>
                <w:numId w:val="0"/>
              </w:numPr>
              <w:jc w:val="both"/>
              <w:rPr>
                <w:rFonts w:hint="default"/>
                <w:b w:val="0"/>
                <w:bCs w:val="0"/>
                <w:sz w:val="21"/>
                <w:szCs w:val="21"/>
                <w:vertAlign w:val="baseline"/>
                <w:lang w:val="en-US" w:eastAsia="zh-CN"/>
              </w:rPr>
            </w:pPr>
          </w:p>
        </w:tc>
        <w:tc>
          <w:tcPr>
            <w:tcW w:w="1064"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64</w:t>
            </w: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64</w:t>
            </w:r>
          </w:p>
        </w:tc>
        <w:tc>
          <w:tcPr>
            <w:tcW w:w="1065" w:type="dxa"/>
          </w:tcPr>
          <w:p>
            <w:pPr>
              <w:numPr>
                <w:ilvl w:val="0"/>
                <w:numId w:val="0"/>
              </w:numPr>
              <w:jc w:val="both"/>
              <w:rPr>
                <w:rFonts w:hint="default"/>
                <w:b w:val="0"/>
                <w:bCs w:val="0"/>
                <w:color w:val="auto"/>
                <w:sz w:val="21"/>
                <w:szCs w:val="21"/>
                <w:highlight w:val="none"/>
                <w:vertAlign w:val="baseline"/>
                <w:lang w:val="en-US" w:eastAsia="zh-CN"/>
              </w:rPr>
            </w:pPr>
            <w:r>
              <w:rPr>
                <w:rFonts w:hint="eastAsia"/>
                <w:b w:val="0"/>
                <w:bCs w:val="0"/>
                <w:color w:val="auto"/>
                <w:sz w:val="21"/>
                <w:szCs w:val="21"/>
                <w:highlight w:val="none"/>
                <w:vertAlign w:val="baseline"/>
                <w:lang w:val="en-US" w:eastAsia="zh-CN"/>
              </w:rPr>
              <w:t>64</w:t>
            </w: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64</w:t>
            </w:r>
          </w:p>
        </w:tc>
        <w:tc>
          <w:tcPr>
            <w:tcW w:w="1065" w:type="dxa"/>
          </w:tcPr>
          <w:p>
            <w:pPr>
              <w:numPr>
                <w:ilvl w:val="0"/>
                <w:numId w:val="0"/>
              </w:numPr>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64</w:t>
            </w:r>
          </w:p>
        </w:tc>
        <w:tc>
          <w:tcPr>
            <w:tcW w:w="1065" w:type="dxa"/>
          </w:tcPr>
          <w:p>
            <w:pPr>
              <w:numPr>
                <w:ilvl w:val="0"/>
                <w:numId w:val="0"/>
              </w:numPr>
              <w:jc w:val="both"/>
              <w:rPr>
                <w:rFonts w:hint="eastAsia"/>
                <w:b w:val="0"/>
                <w:bCs w:val="0"/>
                <w:sz w:val="21"/>
                <w:szCs w:val="21"/>
                <w:vertAlign w:val="baseline"/>
                <w:lang w:val="en-US" w:eastAsia="zh-CN"/>
              </w:rPr>
            </w:pPr>
          </w:p>
        </w:tc>
      </w:tr>
    </w:tbl>
    <w:p>
      <w:pPr>
        <w:numPr>
          <w:numId w:val="0"/>
        </w:numPr>
        <w:ind w:leftChars="0"/>
        <w:jc w:val="both"/>
        <w:rPr>
          <w:rFonts w:hint="default"/>
          <w:b w:val="0"/>
          <w:bCs w:val="0"/>
          <w:sz w:val="21"/>
          <w:szCs w:val="21"/>
          <w:lang w:val="en-US" w:eastAsia="zh-CN"/>
        </w:rPr>
      </w:pPr>
      <w:r>
        <w:rPr>
          <w:rFonts w:hint="eastAsia"/>
          <w:b w:val="0"/>
          <w:bCs w:val="0"/>
          <w:sz w:val="21"/>
          <w:szCs w:val="21"/>
          <w:lang w:val="en-US" w:eastAsia="zh-CN"/>
        </w:rPr>
        <w:t>插入34的时候64后的位置有了54，所以进行2</w:t>
      </w:r>
      <w:r>
        <w:rPr>
          <w:rFonts w:hint="default"/>
          <w:b w:val="0"/>
          <w:bCs w:val="0"/>
          <w:sz w:val="21"/>
          <w:szCs w:val="21"/>
          <w:lang w:val="en-US" w:eastAsia="zh-CN"/>
        </w:rPr>
        <w:t>^</w:t>
      </w:r>
      <w:r>
        <w:rPr>
          <w:rFonts w:hint="eastAsia"/>
          <w:b w:val="0"/>
          <w:bCs w:val="0"/>
          <w:sz w:val="21"/>
          <w:szCs w:val="21"/>
          <w:lang w:val="en-US" w:eastAsia="zh-CN"/>
        </w:rPr>
        <w:t>2=4，向后移动4格存储。</w:t>
      </w:r>
    </w:p>
    <w:p>
      <w:pPr>
        <w:numPr>
          <w:numId w:val="0"/>
        </w:numPr>
        <w:ind w:leftChars="0"/>
        <w:jc w:val="both"/>
        <w:rPr>
          <w:rFonts w:hint="default"/>
          <w:b w:val="0"/>
          <w:bCs w:val="0"/>
          <w:sz w:val="21"/>
          <w:szCs w:val="21"/>
          <w:lang w:val="en-US" w:eastAsia="zh-CN"/>
        </w:rPr>
      </w:pPr>
    </w:p>
    <w:p>
      <w:pPr>
        <w:numPr>
          <w:numId w:val="0"/>
        </w:numPr>
        <w:jc w:val="both"/>
        <w:rPr>
          <w:rFonts w:hint="eastAsia"/>
          <w:b/>
          <w:bCs/>
          <w:sz w:val="21"/>
          <w:szCs w:val="21"/>
          <w:lang w:val="en-US" w:eastAsia="zh-CN"/>
        </w:rPr>
      </w:pPr>
      <w:r>
        <w:rPr>
          <w:rFonts w:hint="eastAsia"/>
          <w:b/>
          <w:bCs/>
          <w:sz w:val="21"/>
          <w:szCs w:val="21"/>
          <w:lang w:val="en-US" w:eastAsia="zh-CN"/>
        </w:rPr>
        <w:t>三、hash的扩容：</w:t>
      </w:r>
    </w:p>
    <w:p>
      <w:pPr>
        <w:numPr>
          <w:ilvl w:val="0"/>
          <w:numId w:val="0"/>
        </w:numPr>
        <w:jc w:val="both"/>
        <w:rPr>
          <w:rFonts w:hint="default"/>
          <w:b w:val="0"/>
          <w:bCs w:val="0"/>
          <w:sz w:val="21"/>
          <w:szCs w:val="21"/>
          <w:lang w:val="en-US" w:eastAsia="zh-CN"/>
        </w:rPr>
      </w:pPr>
      <w:r>
        <w:rPr>
          <w:rFonts w:hint="eastAsia"/>
          <w:b w:val="0"/>
          <w:bCs w:val="0"/>
          <w:sz w:val="21"/>
          <w:szCs w:val="21"/>
          <w:lang w:val="en-US" w:eastAsia="zh-CN"/>
        </w:rPr>
        <w:t>1.go语言中map会在以下情况下扩容：</w:t>
      </w:r>
    </w:p>
    <w:p>
      <w:pPr>
        <w:numPr>
          <w:ilvl w:val="0"/>
          <w:numId w:val="0"/>
        </w:numPr>
        <w:jc w:val="both"/>
        <w:rPr>
          <w:rFonts w:hint="default"/>
          <w:b w:val="0"/>
          <w:bCs w:val="0"/>
          <w:sz w:val="21"/>
          <w:szCs w:val="21"/>
          <w:lang w:val="en-US" w:eastAsia="zh-CN"/>
        </w:rPr>
      </w:pPr>
      <w:r>
        <w:rPr>
          <w:rFonts w:hint="eastAsia"/>
          <w:b w:val="0"/>
          <w:bCs w:val="0"/>
          <w:sz w:val="21"/>
          <w:szCs w:val="21"/>
          <w:lang w:val="en-US" w:eastAsia="zh-CN"/>
        </w:rPr>
        <w:t>（1）</w:t>
      </w:r>
      <w:r>
        <w:rPr>
          <w:rFonts w:hint="default"/>
          <w:b w:val="0"/>
          <w:bCs w:val="0"/>
          <w:sz w:val="21"/>
          <w:szCs w:val="21"/>
          <w:lang w:val="en-US" w:eastAsia="zh-CN"/>
        </w:rPr>
        <w:t>当装载因子超过某个阈值（通常是6.5，即平均每个槽有6.5个key）时。</w:t>
      </w:r>
    </w:p>
    <w:p>
      <w:pPr>
        <w:numPr>
          <w:ilvl w:val="0"/>
          <w:numId w:val="0"/>
        </w:numPr>
        <w:jc w:val="both"/>
        <w:rPr>
          <w:rFonts w:hint="default"/>
          <w:b w:val="0"/>
          <w:bCs w:val="0"/>
          <w:sz w:val="21"/>
          <w:szCs w:val="21"/>
          <w:lang w:val="en-US" w:eastAsia="zh-CN"/>
        </w:rPr>
      </w:pPr>
      <w:r>
        <w:rPr>
          <w:rFonts w:hint="eastAsia"/>
          <w:b w:val="0"/>
          <w:bCs w:val="0"/>
          <w:sz w:val="21"/>
          <w:szCs w:val="21"/>
          <w:lang w:val="en-US" w:eastAsia="zh-CN"/>
        </w:rPr>
        <w:t>（2）</w:t>
      </w:r>
      <w:r>
        <w:rPr>
          <w:rFonts w:hint="default"/>
          <w:b w:val="0"/>
          <w:bCs w:val="0"/>
          <w:sz w:val="21"/>
          <w:szCs w:val="21"/>
          <w:lang w:val="en-US" w:eastAsia="zh-CN"/>
        </w:rPr>
        <w:t>当使用太多的溢出桶（即超过一定数量的普通桶后，新加入的键值对会被放到溢出链中）。</w:t>
      </w:r>
    </w:p>
    <w:p>
      <w:pPr>
        <w:numPr>
          <w:ilvl w:val="0"/>
          <w:numId w:val="0"/>
        </w:numPr>
        <w:jc w:val="both"/>
        <w:rPr>
          <w:rFonts w:hint="default"/>
          <w:b w:val="0"/>
          <w:bCs w:val="0"/>
          <w:sz w:val="21"/>
          <w:szCs w:val="21"/>
          <w:lang w:val="en-US" w:eastAsia="zh-CN"/>
        </w:rPr>
      </w:pPr>
    </w:p>
    <w:p>
      <w:pPr>
        <w:numPr>
          <w:ilvl w:val="0"/>
          <w:numId w:val="3"/>
        </w:numPr>
        <w:jc w:val="both"/>
        <w:rPr>
          <w:rFonts w:hint="eastAsia"/>
          <w:b w:val="0"/>
          <w:bCs w:val="0"/>
          <w:sz w:val="21"/>
          <w:szCs w:val="21"/>
          <w:lang w:val="en-US" w:eastAsia="zh-CN"/>
        </w:rPr>
      </w:pPr>
      <w:r>
        <w:rPr>
          <w:rFonts w:hint="eastAsia"/>
          <w:b w:val="0"/>
          <w:bCs w:val="0"/>
          <w:sz w:val="21"/>
          <w:szCs w:val="21"/>
          <w:lang w:val="en-US" w:eastAsia="zh-CN"/>
        </w:rPr>
        <w:t>hash的扩容方式：</w:t>
      </w:r>
    </w:p>
    <w:p>
      <w:pPr>
        <w:numPr>
          <w:numId w:val="0"/>
        </w:numPr>
        <w:jc w:val="both"/>
        <w:rPr>
          <w:rFonts w:hint="eastAsia"/>
          <w:b w:val="0"/>
          <w:bCs w:val="0"/>
          <w:sz w:val="21"/>
          <w:szCs w:val="21"/>
          <w:lang w:val="en-US" w:eastAsia="zh-CN"/>
        </w:rPr>
      </w:pPr>
      <w:r>
        <w:rPr>
          <w:rFonts w:hint="eastAsia"/>
          <w:b w:val="0"/>
          <w:bCs w:val="0"/>
          <w:sz w:val="21"/>
          <w:szCs w:val="21"/>
          <w:lang w:val="en-US" w:eastAsia="zh-CN"/>
        </w:rPr>
        <w:t>（1）等量扩容：当数据不多但溢出桶太多时，会进行等量扩容，即重新组织数据，使数据更紧凑。</w:t>
      </w:r>
    </w:p>
    <w:p>
      <w:pPr>
        <w:numPr>
          <w:numId w:val="0"/>
        </w:numPr>
        <w:jc w:val="both"/>
        <w:rPr>
          <w:rFonts w:hint="eastAsia"/>
          <w:b w:val="0"/>
          <w:bCs w:val="0"/>
          <w:sz w:val="21"/>
          <w:szCs w:val="21"/>
          <w:lang w:val="en-US" w:eastAsia="zh-CN"/>
        </w:rPr>
      </w:pPr>
      <w:r>
        <w:rPr>
          <w:rFonts w:hint="eastAsia"/>
          <w:b w:val="0"/>
          <w:bCs w:val="0"/>
          <w:sz w:val="21"/>
          <w:szCs w:val="21"/>
          <w:lang w:val="en-US" w:eastAsia="zh-CN"/>
        </w:rPr>
        <w:t>（2）翻倍扩容：当数据量很大时，会增加普通桶的数量来进行扩容。</w:t>
      </w:r>
    </w:p>
    <w:p>
      <w:pPr>
        <w:numPr>
          <w:numId w:val="0"/>
        </w:numPr>
        <w:jc w:val="both"/>
        <w:rPr>
          <w:rFonts w:hint="eastAsia"/>
          <w:b w:val="0"/>
          <w:bCs w:val="0"/>
          <w:sz w:val="21"/>
          <w:szCs w:val="21"/>
          <w:lang w:val="en-US" w:eastAsia="zh-CN"/>
        </w:rPr>
      </w:pPr>
      <w:bookmarkStart w:id="0" w:name="_GoBack"/>
      <w:bookmarkEnd w:id="0"/>
    </w:p>
    <w:p>
      <w:pPr>
        <w:numPr>
          <w:numId w:val="0"/>
        </w:numPr>
        <w:jc w:val="both"/>
        <w:rPr>
          <w:rFonts w:hint="eastAsia"/>
          <w:b w:val="0"/>
          <w:bCs w:val="0"/>
          <w:sz w:val="21"/>
          <w:szCs w:val="21"/>
          <w:lang w:val="en-US" w:eastAsia="zh-CN"/>
        </w:rPr>
      </w:pPr>
    </w:p>
    <w:p>
      <w:pPr>
        <w:numPr>
          <w:ilvl w:val="0"/>
          <w:numId w:val="4"/>
        </w:numPr>
        <w:jc w:val="both"/>
        <w:rPr>
          <w:rFonts w:hint="default"/>
          <w:b w:val="0"/>
          <w:bCs w:val="0"/>
          <w:sz w:val="21"/>
          <w:szCs w:val="21"/>
          <w:lang w:val="en-US" w:eastAsia="zh-CN"/>
        </w:rPr>
      </w:pPr>
      <w:r>
        <w:rPr>
          <w:rFonts w:hint="eastAsia"/>
          <w:b w:val="0"/>
          <w:bCs w:val="0"/>
          <w:sz w:val="21"/>
          <w:szCs w:val="21"/>
          <w:lang w:val="en-US" w:eastAsia="zh-CN"/>
        </w:rPr>
        <w:t>hash等量扩容和翻倍扩容的好处：</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b w:val="0"/>
          <w:bCs w:val="0"/>
          <w:sz w:val="21"/>
          <w:szCs w:val="21"/>
          <w:lang w:val="en-US" w:eastAsia="zh-CN"/>
        </w:rPr>
      </w:pPr>
      <w:r>
        <w:rPr>
          <w:rFonts w:hint="default"/>
          <w:b w:val="0"/>
          <w:bCs w:val="0"/>
          <w:sz w:val="21"/>
          <w:szCs w:val="21"/>
          <w:lang w:val="en-US" w:eastAsia="zh-CN"/>
        </w:rPr>
        <w:t>等量扩容</w:t>
      </w:r>
      <w:r>
        <w:rPr>
          <w:rFonts w:hint="eastAsia"/>
          <w:b w:val="0"/>
          <w:bCs w:val="0"/>
          <w:sz w:val="21"/>
          <w:szCs w:val="21"/>
          <w:lang w:val="en-US" w:eastAsia="zh-CN"/>
        </w:rPr>
        <w:t>：</w:t>
      </w:r>
      <w:r>
        <w:rPr>
          <w:rFonts w:hint="default"/>
          <w:b w:val="0"/>
          <w:bCs w:val="0"/>
          <w:sz w:val="21"/>
          <w:szCs w:val="21"/>
          <w:lang w:val="en-US" w:eastAsia="zh-CN"/>
        </w:rPr>
        <w:t>指的是在扩容过程中保持哈希表的大小不变，而是通过其他方式优化其性能。这种策略的好处在于它避免了因扩容而导致的内存重新分配和数据迁移的开销，从而维持了哈希表的稳定性。等量扩容可能涉及到对哈希函数或内部数据结构的调整，以更好地分布数据并减少冲突，从而提高查找和插入的效率。这种策略在数据量相对稳定，但性能需要进一步优化的情况下可能更为适用。</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sz w:val="21"/>
          <w:szCs w:val="21"/>
          <w:lang w:val="en-US" w:eastAsia="zh-CN"/>
        </w:rPr>
      </w:pPr>
      <w:r>
        <w:rPr>
          <w:rFonts w:hint="default"/>
          <w:b w:val="0"/>
          <w:bCs w:val="0"/>
          <w:sz w:val="21"/>
          <w:szCs w:val="21"/>
          <w:lang w:val="en-US" w:eastAsia="zh-CN"/>
        </w:rPr>
        <w:t>翻倍扩容</w:t>
      </w:r>
      <w:r>
        <w:rPr>
          <w:rFonts w:hint="eastAsia"/>
          <w:b w:val="0"/>
          <w:bCs w:val="0"/>
          <w:sz w:val="21"/>
          <w:szCs w:val="21"/>
          <w:lang w:val="en-US" w:eastAsia="zh-CN"/>
        </w:rPr>
        <w:t>：</w:t>
      </w:r>
      <w:r>
        <w:rPr>
          <w:rFonts w:hint="default"/>
          <w:b w:val="0"/>
          <w:bCs w:val="0"/>
          <w:sz w:val="21"/>
          <w:szCs w:val="21"/>
          <w:lang w:val="en-US" w:eastAsia="zh-CN"/>
        </w:rPr>
        <w:t>即每次扩容时将哈希表的大小增加一倍，是一种更为常见的扩容策略。它的好处在于能够更均匀地重新分布已有的元素，从而减少哈希冲突的概率。通过翻倍扩容，可以增加桶的数量，使得每个桶中的元素数量减少，从而提高查找效率。此外，翻倍扩容通常能够在性能和内存占用之间找到一个平衡点。在数据量不断增长的情况下，翻倍扩容可以有效地维持哈希表的性能，避免频繁的性能下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bCs/>
          <w:sz w:val="21"/>
          <w:szCs w:val="21"/>
          <w:lang w:val="en-US" w:eastAsia="zh-CN"/>
        </w:rPr>
      </w:pPr>
      <w:r>
        <w:rPr>
          <w:rFonts w:hint="eastAsia"/>
          <w:b/>
          <w:bCs/>
          <w:sz w:val="21"/>
          <w:szCs w:val="21"/>
          <w:lang w:val="en-US" w:eastAsia="zh-CN"/>
        </w:rPr>
        <w:t>四、hash的查找流程</w:t>
      </w:r>
    </w:p>
    <w:p>
      <w:pPr>
        <w:keepNext w:val="0"/>
        <w:keepLines w:val="0"/>
        <w:pageBreakBefore w:val="0"/>
        <w:widowControl w:val="0"/>
        <w:numPr>
          <w:ilvl w:val="0"/>
          <w:numId w:val="5"/>
        </w:numPr>
        <w:kinsoku/>
        <w:wordWrap/>
        <w:overflowPunct/>
        <w:topLinePunct w:val="0"/>
        <w:autoSpaceDE/>
        <w:autoSpaceDN/>
        <w:bidi w:val="0"/>
        <w:adjustRightInd/>
        <w:snapToGrid/>
        <w:jc w:val="both"/>
        <w:textAlignment w:val="auto"/>
        <w:rPr>
          <w:rFonts w:hint="default"/>
          <w:b w:val="0"/>
          <w:bCs w:val="0"/>
          <w:sz w:val="21"/>
          <w:szCs w:val="21"/>
          <w:lang w:val="en-US" w:eastAsia="zh-CN"/>
        </w:rPr>
      </w:pPr>
      <w:r>
        <w:rPr>
          <w:rFonts w:hint="default"/>
          <w:b w:val="0"/>
          <w:bCs w:val="0"/>
          <w:sz w:val="21"/>
          <w:szCs w:val="21"/>
          <w:lang w:val="en-US" w:eastAsia="zh-CN"/>
        </w:rPr>
        <w:t>计算哈希值：首先，根据要查询的元素的键（Key），通过哈希函数计算出哈希值（Hash Value）。哈希函数是一种将任意长度的输入（键）映射为固定长度的输出（哈希值）的算法。这个哈希值用于确定元素在哈希表中的位置。</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jc w:val="both"/>
        <w:textAlignment w:val="auto"/>
        <w:rPr>
          <w:rFonts w:hint="default"/>
          <w:b w:val="0"/>
          <w:bCs w:val="0"/>
          <w:sz w:val="21"/>
          <w:szCs w:val="21"/>
          <w:lang w:val="en-US" w:eastAsia="zh-CN"/>
        </w:rPr>
      </w:pPr>
      <w:r>
        <w:rPr>
          <w:rFonts w:hint="default"/>
          <w:b w:val="0"/>
          <w:bCs w:val="0"/>
          <w:sz w:val="21"/>
          <w:szCs w:val="21"/>
          <w:lang w:val="en-US" w:eastAsia="zh-CN"/>
        </w:rPr>
        <w:t>确定索引位置：使用计算出的哈希值与哈希表的容量进行某种运算（如取模运算），得到元素在哈希表中的索引位置。这个索引位置就是元素在哈希表中可能的存储位置。</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jc w:val="both"/>
        <w:textAlignment w:val="auto"/>
        <w:rPr>
          <w:rFonts w:hint="default"/>
          <w:b w:val="0"/>
          <w:bCs w:val="0"/>
          <w:sz w:val="21"/>
          <w:szCs w:val="21"/>
          <w:lang w:val="en-US" w:eastAsia="zh-CN"/>
        </w:rPr>
      </w:pPr>
      <w:r>
        <w:rPr>
          <w:rFonts w:hint="default"/>
          <w:b w:val="0"/>
          <w:bCs w:val="0"/>
          <w:sz w:val="21"/>
          <w:szCs w:val="21"/>
          <w:lang w:val="en-US" w:eastAsia="zh-CN"/>
        </w:rPr>
        <w:t>检查索引位置：在得到的索引位置上，检查是否存在元素。如果没有任何元素，说明哈希表中不存在该键对应的元素，查找失败。</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jc w:val="both"/>
        <w:textAlignment w:val="auto"/>
        <w:rPr>
          <w:rFonts w:hint="default"/>
          <w:b w:val="0"/>
          <w:bCs w:val="0"/>
          <w:sz w:val="21"/>
          <w:szCs w:val="21"/>
          <w:lang w:val="en-US" w:eastAsia="zh-CN"/>
        </w:rPr>
      </w:pPr>
      <w:r>
        <w:rPr>
          <w:rFonts w:hint="default"/>
          <w:b w:val="0"/>
          <w:bCs w:val="0"/>
          <w:sz w:val="21"/>
          <w:szCs w:val="21"/>
          <w:lang w:val="en-US" w:eastAsia="zh-CN"/>
        </w:rPr>
        <w:t>处理冲突：如果在索引位置上存在元素（可能是一个元素，也可能是一个链表或红黑树等数据结构），则需要处理哈希冲突。对于单个元素，直接比较其键与要查询的键是否相等。如果存在链表或红黑树等数据结构，则需要遍历这些数据结构，逐个比较键的值，直到找到与要查询的键相等的元素。</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jc w:val="both"/>
        <w:textAlignment w:val="auto"/>
        <w:rPr>
          <w:rFonts w:hint="default"/>
          <w:b w:val="0"/>
          <w:bCs w:val="0"/>
          <w:sz w:val="21"/>
          <w:szCs w:val="21"/>
          <w:lang w:val="en-US" w:eastAsia="zh-CN"/>
        </w:rPr>
      </w:pPr>
      <w:r>
        <w:rPr>
          <w:rFonts w:hint="default"/>
          <w:b w:val="0"/>
          <w:bCs w:val="0"/>
          <w:sz w:val="21"/>
          <w:szCs w:val="21"/>
          <w:lang w:val="en-US" w:eastAsia="zh-CN"/>
        </w:rPr>
        <w:t>返回结果：如果找到了与要查询的键相等的元素，则返回该元素对应的值。如果遍历完所有可能的元素后仍未找到匹配的键，则查找失败，返回相应的空值或错误提示。</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both"/>
        <w:textAlignment w:val="auto"/>
        <w:rPr>
          <w:rFonts w:hint="eastAsia"/>
          <w:b/>
          <w:bCs/>
          <w:sz w:val="21"/>
          <w:szCs w:val="21"/>
          <w:lang w:val="en-US" w:eastAsia="zh-CN"/>
        </w:rPr>
      </w:pPr>
      <w:r>
        <w:rPr>
          <w:rFonts w:hint="eastAsia"/>
          <w:b/>
          <w:bCs/>
          <w:sz w:val="21"/>
          <w:szCs w:val="21"/>
          <w:lang w:val="en-US" w:eastAsia="zh-CN"/>
        </w:rPr>
        <w:t>hash的插入流程</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r>
        <w:rPr>
          <w:rFonts w:hint="default"/>
          <w:b w:val="0"/>
          <w:bCs w:val="0"/>
          <w:sz w:val="21"/>
          <w:szCs w:val="21"/>
          <w:lang w:val="en-US" w:eastAsia="zh-CN"/>
        </w:rPr>
        <w:t>计算哈希值：首先，根据要插入的元素的键（Key），通过哈希函数计算出对应的哈希值。这个哈希值用于确定元素在哈希表中的存储位置。</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sz w:val="21"/>
          <w:szCs w:val="21"/>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jc w:val="both"/>
        <w:textAlignment w:val="auto"/>
        <w:rPr>
          <w:rFonts w:hint="default"/>
          <w:b w:val="0"/>
          <w:bCs w:val="0"/>
          <w:sz w:val="21"/>
          <w:szCs w:val="21"/>
          <w:lang w:val="en-US" w:eastAsia="zh-CN"/>
        </w:rPr>
      </w:pPr>
      <w:r>
        <w:rPr>
          <w:rFonts w:hint="default"/>
          <w:b w:val="0"/>
          <w:bCs w:val="0"/>
          <w:sz w:val="21"/>
          <w:szCs w:val="21"/>
          <w:lang w:val="en-US" w:eastAsia="zh-CN"/>
        </w:rPr>
        <w:t>确定索引位置：使用计算出的哈希值与哈希表的容量进行某种运算（如取模运算），得到元素在哈希表中的索引位置。这个索引位置就是元素应该插入的位置。</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jc w:val="both"/>
        <w:textAlignment w:val="auto"/>
        <w:rPr>
          <w:rFonts w:hint="default"/>
          <w:b w:val="0"/>
          <w:bCs w:val="0"/>
          <w:sz w:val="21"/>
          <w:szCs w:val="21"/>
          <w:lang w:val="en-US" w:eastAsia="zh-CN"/>
        </w:rPr>
      </w:pPr>
      <w:r>
        <w:rPr>
          <w:rFonts w:hint="default"/>
          <w:b w:val="0"/>
          <w:bCs w:val="0"/>
          <w:sz w:val="21"/>
          <w:szCs w:val="21"/>
          <w:lang w:val="en-US" w:eastAsia="zh-CN"/>
        </w:rPr>
        <w:t>处理冲突：如果在确定的索引位置上已经存在元素，就需要处理哈希冲突。处理冲突的方法有多种，例如链地址法（开放寻址法的一种）和红黑树法等。在链地址法中，每个桶（即索引位置）可以是一个链表，当冲突发生时，新元素会被添加到该桶对应的链表的末尾。而在红黑树法中，当链表过长时，会将其转化为红黑树以提高查询效率。</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jc w:val="both"/>
        <w:textAlignment w:val="auto"/>
        <w:rPr>
          <w:rFonts w:hint="default"/>
          <w:b w:val="0"/>
          <w:bCs w:val="0"/>
          <w:sz w:val="21"/>
          <w:szCs w:val="21"/>
          <w:lang w:val="en-US" w:eastAsia="zh-CN"/>
        </w:rPr>
      </w:pPr>
      <w:r>
        <w:rPr>
          <w:rFonts w:hint="default"/>
          <w:b w:val="0"/>
          <w:bCs w:val="0"/>
          <w:sz w:val="21"/>
          <w:szCs w:val="21"/>
          <w:lang w:val="en-US" w:eastAsia="zh-CN"/>
        </w:rPr>
        <w:t>插入元素：如果没有冲突，或者冲突已经得到妥善处理，就可以将元素插入到哈希表的指定位置。这可能涉及到在链表或红黑树中插入新节点。</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b w:val="0"/>
          <w:bCs w:val="0"/>
          <w:sz w:val="21"/>
          <w:szCs w:val="21"/>
          <w:lang w:val="en-US" w:eastAsia="zh-CN"/>
        </w:rPr>
      </w:pPr>
      <w:r>
        <w:rPr>
          <w:rFonts w:hint="eastAsia"/>
          <w:b w:val="0"/>
          <w:bCs w:val="0"/>
          <w:sz w:val="21"/>
          <w:szCs w:val="21"/>
          <w:lang w:val="en-US" w:eastAsia="zh-CN"/>
        </w:rPr>
        <w:t>5.</w:t>
      </w:r>
      <w:r>
        <w:rPr>
          <w:rFonts w:hint="default"/>
          <w:b w:val="0"/>
          <w:bCs w:val="0"/>
          <w:sz w:val="21"/>
          <w:szCs w:val="21"/>
          <w:lang w:val="en-US" w:eastAsia="zh-CN"/>
        </w:rPr>
        <w:t>调整容量：如果插入元素后，哈希表的容量达到了某个阈值（例如，当哈希表中的键值对数量超过了容量的某个百分比），就需要进行扩容操作。扩容操作会创建一个新的哈希表，并将原哈希表中的所有元素重新计算哈希值，并分布到新的哈希表中。这样可以确保哈希表保持良好的性能，避免过多的冲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PingFang-SC-Regular">
    <w:panose1 w:val="020B0400000000000000"/>
    <w:charset w:val="86"/>
    <w:family w:val="auto"/>
    <w:pitch w:val="default"/>
    <w:sig w:usb0="A00002FF" w:usb1="7ACFFDFB" w:usb2="00000017" w:usb3="00000000" w:csb0="0004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1C74C"/>
    <w:multiLevelType w:val="singleLevel"/>
    <w:tmpl w:val="B4A1C74C"/>
    <w:lvl w:ilvl="0" w:tentative="0">
      <w:start w:val="2"/>
      <w:numFmt w:val="decimal"/>
      <w:suff w:val="nothing"/>
      <w:lvlText w:val="（%1）"/>
      <w:lvlJc w:val="left"/>
    </w:lvl>
  </w:abstractNum>
  <w:abstractNum w:abstractNumId="1">
    <w:nsid w:val="BBF7FE11"/>
    <w:multiLevelType w:val="singleLevel"/>
    <w:tmpl w:val="BBF7FE11"/>
    <w:lvl w:ilvl="0" w:tentative="0">
      <w:start w:val="1"/>
      <w:numFmt w:val="decimal"/>
      <w:suff w:val="nothing"/>
      <w:lvlText w:val="%1&gt;"/>
      <w:lvlJc w:val="left"/>
    </w:lvl>
  </w:abstractNum>
  <w:abstractNum w:abstractNumId="2">
    <w:nsid w:val="DE7886A3"/>
    <w:multiLevelType w:val="singleLevel"/>
    <w:tmpl w:val="DE7886A3"/>
    <w:lvl w:ilvl="0" w:tentative="0">
      <w:start w:val="1"/>
      <w:numFmt w:val="decimal"/>
      <w:lvlText w:val="%1."/>
      <w:lvlJc w:val="left"/>
      <w:pPr>
        <w:tabs>
          <w:tab w:val="left" w:pos="312"/>
        </w:tabs>
      </w:pPr>
    </w:lvl>
  </w:abstractNum>
  <w:abstractNum w:abstractNumId="3">
    <w:nsid w:val="DFAF225A"/>
    <w:multiLevelType w:val="singleLevel"/>
    <w:tmpl w:val="DFAF225A"/>
    <w:lvl w:ilvl="0" w:tentative="0">
      <w:start w:val="1"/>
      <w:numFmt w:val="decimal"/>
      <w:suff w:val="space"/>
      <w:lvlText w:val="%1."/>
      <w:lvlJc w:val="left"/>
    </w:lvl>
  </w:abstractNum>
  <w:abstractNum w:abstractNumId="4">
    <w:nsid w:val="DFFDB157"/>
    <w:multiLevelType w:val="singleLevel"/>
    <w:tmpl w:val="DFFDB157"/>
    <w:lvl w:ilvl="0" w:tentative="0">
      <w:start w:val="2"/>
      <w:numFmt w:val="decimal"/>
      <w:suff w:val="space"/>
      <w:lvlText w:val="%1."/>
      <w:lvlJc w:val="left"/>
    </w:lvl>
  </w:abstractNum>
  <w:abstractNum w:abstractNumId="5">
    <w:nsid w:val="F3DA9B81"/>
    <w:multiLevelType w:val="singleLevel"/>
    <w:tmpl w:val="F3DA9B81"/>
    <w:lvl w:ilvl="0" w:tentative="0">
      <w:start w:val="3"/>
      <w:numFmt w:val="decimal"/>
      <w:suff w:val="space"/>
      <w:lvlText w:val="%1."/>
      <w:lvlJc w:val="left"/>
    </w:lvl>
  </w:abstractNum>
  <w:abstractNum w:abstractNumId="6">
    <w:nsid w:val="FDF8C2C7"/>
    <w:multiLevelType w:val="singleLevel"/>
    <w:tmpl w:val="FDF8C2C7"/>
    <w:lvl w:ilvl="0" w:tentative="0">
      <w:start w:val="5"/>
      <w:numFmt w:val="chineseCounting"/>
      <w:suff w:val="nothing"/>
      <w:lvlText w:val="%1、"/>
      <w:lvlJc w:val="left"/>
      <w:rPr>
        <w:rFonts w:hint="eastAsia"/>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EF60FE"/>
    <w:rsid w:val="7FF5594F"/>
    <w:rsid w:val="7FF73336"/>
    <w:rsid w:val="AFF79E77"/>
    <w:rsid w:val="E7A6FD8B"/>
    <w:rsid w:val="F75EF1D4"/>
    <w:rsid w:val="F79EED34"/>
    <w:rsid w:val="F9E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2024-03-27T09:10:00Z</dcterms:created>
  <dc:creator>任龙</dc:creator>
  <cp:lastModifiedBy>任龙</cp:lastModifiedBy>
  <dcterms:modified xsi:type="dcterms:W3CDTF">2024-03-27T16:43:15Z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F28D293B9A50222703720366E0B0EE32_41</vt:lpwstr>
  </property>
</Properties>
</file>