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Correspondent</w:t>
      </w:r>
      <w:r>
        <w:t xml:space="preserve"> </w:t>
      </w:r>
      <w:r>
        <w:t xml:space="preserve">Gate</w:t>
      </w:r>
    </w:p>
    <w:p>
      <w:pPr>
        <w:pStyle w:val="Subtitle"/>
      </w:pPr>
      <w:r>
        <w:t xml:space="preserve">Expanded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MVP</w:t>
      </w:r>
      <w:r>
        <w:t xml:space="preserve"> </w:t>
      </w:r>
      <w:r>
        <w:t xml:space="preserve">Traceability</w:t>
      </w:r>
    </w:p>
    <w:p>
      <w:pPr>
        <w:pStyle w:val="Author"/>
      </w:pPr>
      <w:r>
        <w:t xml:space="preserve">Genius</w:t>
      </w:r>
      <w:r>
        <w:t xml:space="preserve"> </w:t>
      </w:r>
      <w:r>
        <w:t xml:space="preserve">Hacks</w:t>
      </w:r>
      <w:r>
        <w:t xml:space="preserve"> </w:t>
      </w:r>
      <w:r>
        <w:t xml:space="preserve">Q3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Workbench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  <w:bCs/>
                <w:b/>
              </w:rPr>
              <w:t xml:space="preserve">Derived from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Genius Hacks Q3 2026 problem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across 6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· Partial · Deferred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listed in section 11</w:t>
            </w:r>
          </w:p>
        </w:tc>
      </w:tr>
    </w:tbl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How to read this document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Intake requirements</w:t>
      </w:r>
    </w:p>
    <w:p>
      <w:pPr>
        <w:numPr>
          <w:ilvl w:val="0"/>
          <w:numId w:val="1001"/>
        </w:numPr>
        <w:pStyle w:val="Compact"/>
      </w:pPr>
      <w:r>
        <w:t xml:space="preserve">Risk model requirements</w:t>
      </w:r>
    </w:p>
    <w:p>
      <w:pPr>
        <w:numPr>
          <w:ilvl w:val="0"/>
          <w:numId w:val="1001"/>
        </w:numPr>
        <w:pStyle w:val="Compact"/>
      </w:pPr>
      <w:r>
        <w:t xml:space="preserve">Governance requirements</w:t>
      </w:r>
    </w:p>
    <w:p>
      <w:pPr>
        <w:numPr>
          <w:ilvl w:val="0"/>
          <w:numId w:val="1001"/>
        </w:numPr>
        <w:pStyle w:val="Compact"/>
      </w:pPr>
      <w:r>
        <w:t xml:space="preserve">Audit and evidence requirements</w:t>
      </w:r>
    </w:p>
    <w:p>
      <w:pPr>
        <w:numPr>
          <w:ilvl w:val="0"/>
          <w:numId w:val="1001"/>
        </w:numPr>
        <w:pStyle w:val="Compact"/>
      </w:pPr>
      <w:r>
        <w:t xml:space="preserve">Non-functional requirements</w:t>
      </w:r>
    </w:p>
    <w:p>
      <w:pPr>
        <w:numPr>
          <w:ilvl w:val="0"/>
          <w:numId w:val="1001"/>
        </w:numPr>
        <w:pStyle w:val="Compact"/>
      </w:pPr>
      <w:r>
        <w:t xml:space="preserve">Evaluation requirements</w:t>
      </w:r>
    </w:p>
    <w:p>
      <w:pPr>
        <w:numPr>
          <w:ilvl w:val="0"/>
          <w:numId w:val="1001"/>
        </w:numPr>
        <w:pStyle w:val="Compact"/>
      </w:pPr>
      <w:r>
        <w:t xml:space="preserve">Traceability — brief to MVP</w:t>
      </w:r>
    </w:p>
    <w:p>
      <w:pPr>
        <w:numPr>
          <w:ilvl w:val="0"/>
          <w:numId w:val="1001"/>
        </w:numPr>
        <w:pStyle w:val="Compact"/>
      </w:pPr>
      <w:r>
        <w:t xml:space="preserve">Deliberately not specified by the brief — our answers</w:t>
      </w:r>
    </w:p>
    <w:p>
      <w:pPr>
        <w:numPr>
          <w:ilvl w:val="0"/>
          <w:numId w:val="1001"/>
        </w:numPr>
        <w:pStyle w:val="Compact"/>
      </w:pPr>
      <w:r>
        <w:t xml:space="preserve">Open items requiring a decision outside engineering</w:t>
      </w:r>
    </w:p>
    <w:p>
      <w:r>
        <w:br w:type="page"/>
      </w:r>
    </w:p>
    <w:bookmarkEnd w:id="20"/>
    <w:bookmarkStart w:id="21" w:name="how-to-read-this-document"/>
    <w:p>
      <w:pPr>
        <w:pStyle w:val="Heading2"/>
      </w:pPr>
      <w:r>
        <w:t xml:space="preserve">1. How to read this document</w:t>
      </w:r>
    </w:p>
    <w:p>
      <w:pPr>
        <w:pStyle w:val="FirstParagraph"/>
      </w:pPr>
      <w:r>
        <w:t xml:space="preserve">The Genius Hacks brief was deliberately incomplete. This document records the</w:t>
      </w:r>
      <w:r>
        <w:t xml:space="preserve"> </w:t>
      </w:r>
      <w:r>
        <w:t xml:space="preserve">expansion from that brief into buildable requirements, and states what the</w:t>
      </w:r>
      <w:r>
        <w:t xml:space="preserve"> </w:t>
      </w:r>
      <w:r>
        <w:t xml:space="preserve">hackathon MVP actually delivered against each one.</w:t>
      </w:r>
    </w:p>
    <w:p>
      <w:pPr>
        <w:pStyle w:val="BodyText"/>
      </w:pPr>
      <w:r>
        <w:t xml:space="preserve">Every requirement carries a status: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 in the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with a stated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Specified, consciously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gap requiring a decision outside engineering</w:t>
            </w:r>
          </w:p>
        </w:tc>
      </w:tr>
    </w:tbl>
    <w:p>
      <w:pPr>
        <w:pStyle w:val="BodyText"/>
      </w:pPr>
      <w:r>
        <w:t xml:space="preserve">Where a requirement was inferred rather than stated, it is marked</w:t>
      </w:r>
      <w:r>
        <w:t xml:space="preserve"> </w:t>
      </w:r>
      <w:r>
        <w:rPr>
          <w:bCs/>
          <w:b/>
        </w:rPr>
        <w:t xml:space="preserve">[assumption]</w:t>
      </w:r>
      <w:r>
        <w:t xml:space="preserve">. Those are the lines a reviewer should challenge first.</w:t>
      </w:r>
    </w:p>
    <w:bookmarkEnd w:id="21"/>
    <w:bookmarkStart w:id="25" w:name="scope"/>
    <w:p>
      <w:pPr>
        <w:pStyle w:val="Heading2"/>
      </w:pPr>
      <w:r>
        <w:t xml:space="preserve">2. Scope</w:t>
      </w:r>
    </w:p>
    <w:bookmarkStart w:id="22" w:name="what-was-built"/>
    <w:p>
      <w:pPr>
        <w:pStyle w:val="Heading3"/>
      </w:pPr>
      <w:r>
        <w:t xml:space="preserve">2.1 What was built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  <w:bCs/>
                <w:b/>
              </w:rPr>
              <w:t xml:space="preserve">Change type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Onboarding a new correspondent banking respondent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 covered financial institution opening the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foreign financial institution applying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through committee escalation, with a full audit record</w:t>
            </w:r>
          </w:p>
        </w:tc>
      </w:tr>
    </w:tbl>
    <w:bookmarkEnd w:id="22"/>
    <w:bookmarkStart w:id="23" w:name="scope-decisions-and-their-basis"/>
    <w:p>
      <w:pPr>
        <w:pStyle w:val="Heading3"/>
      </w:pPr>
      <w:r>
        <w:t xml:space="preserve">2.2 Scope decisions and their basis</w:t>
      </w:r>
    </w:p>
    <w:p>
      <w:pPr>
        <w:pStyle w:val="FirstParagraph"/>
      </w:pPr>
      <w:r>
        <w:rPr>
          <w:bCs/>
          <w:b/>
        </w:rPr>
        <w:t xml:space="preserve">SD-01 — One change type, built completely.</w:t>
      </w:r>
      <w:r>
        <w:t xml:space="preserve"> </w:t>
      </w:r>
      <w:r>
        <w:t xml:space="preserve">The brief names a workbench covering new products and material changes. A thin</w:t>
      </w:r>
      <w:r>
        <w:t xml:space="preserve"> </w:t>
      </w:r>
      <w:r>
        <w:t xml:space="preserve">implementation of every change type would demonstrate nothing testable. One</w:t>
      </w:r>
      <w:r>
        <w:t xml:space="preserve"> </w:t>
      </w:r>
      <w:r>
        <w:t xml:space="preserve">loop, built fully, demonstrates the governance model the rubric weights at 15%.</w:t>
      </w:r>
    </w:p>
    <w:p>
      <w:pPr>
        <w:pStyle w:val="BodyText"/>
      </w:pPr>
      <w:r>
        <w:rPr>
          <w:bCs/>
          <w:b/>
        </w:rPr>
        <w:t xml:space="preserve">SD-02 — Correspondent banking rather than vendor onboarding.</w:t>
      </w:r>
      <w:r>
        <w:t xml:space="preserve"> </w:t>
      </w:r>
      <w:r>
        <w:t xml:space="preserve">Correspondent banking carries a regulation (31 CFR 1010.610) rather than</w:t>
      </w:r>
      <w:r>
        <w:t xml:space="preserve"> </w:t>
      </w:r>
      <w:r>
        <w:t xml:space="preserve">non-enforceable guidance, a published industry intake instrument, and a short</w:t>
      </w:r>
      <w:r>
        <w:t xml:space="preserve"> </w:t>
      </w:r>
      <w:r>
        <w:t xml:space="preserve">enough approval chain to model completely.</w:t>
      </w:r>
    </w:p>
    <w:p>
      <w:pPr>
        <w:pStyle w:val="BodyText"/>
      </w:pPr>
      <w:r>
        <w:rPr>
          <w:bCs/>
          <w:b/>
        </w:rPr>
        <w:t xml:space="preserve">SD-03 — A written agreement is the scope boundary. [assumption]</w:t>
      </w:r>
      <w:r>
        <w:t xml:space="preserve"> </w:t>
      </w:r>
      <w:r>
        <w:t xml:space="preserve">An arrangement with no written agreement and no clear consideration is not</w:t>
      </w:r>
      <w:r>
        <w:t xml:space="preserve"> </w:t>
      </w:r>
      <w:r>
        <w:t xml:space="preserve">treated as in scope.</w:t>
      </w:r>
    </w:p>
    <w:p>
      <w:pPr>
        <w:pStyle w:val="BodyText"/>
      </w:pPr>
      <w:r>
        <w:rPr>
          <w:bCs/>
          <w:b/>
        </w:rPr>
        <w:t xml:space="preserve">SD-04 — Per-relationship assessment, not per-activity. [assumption]</w:t>
      </w:r>
      <w:r>
        <w:t xml:space="preserve"> </w:t>
      </w:r>
      <w:r>
        <w:t xml:space="preserve">Simpler within the build window. Concentration across multiple services for one</w:t>
      </w:r>
      <w:r>
        <w:t xml:space="preserve"> </w:t>
      </w:r>
      <w:r>
        <w:t xml:space="preserve">respondent is captured in the scoping form rather than by splitting the</w:t>
      </w:r>
      <w:r>
        <w:t xml:space="preserve"> </w:t>
      </w:r>
      <w:r>
        <w:t xml:space="preserve">assessment.</w:t>
      </w:r>
    </w:p>
    <w:bookmarkEnd w:id="23"/>
    <w:bookmarkStart w:id="24" w:name="explicitly-out-of-scope"/>
    <w:p>
      <w:pPr>
        <w:pStyle w:val="Heading3"/>
      </w:pPr>
      <w:r>
        <w:t xml:space="preserve">2.3 Explicitly out of scope</w:t>
      </w:r>
    </w:p>
    <w:p>
      <w:pPr>
        <w:pStyle w:val="FirstParagraph"/>
      </w:pPr>
      <w:r>
        <w:t xml:space="preserve">Customer onboarding. New product launches. Geographic expansion. Ongoing</w:t>
      </w:r>
      <w:r>
        <w:t xml:space="preserve"> </w:t>
      </w:r>
      <w:r>
        <w:t xml:space="preserve">transaction monitoring — the system produces the baseline monitoring compares</w:t>
      </w:r>
      <w:r>
        <w:t xml:space="preserve"> </w:t>
      </w:r>
      <w:r>
        <w:t xml:space="preserve">against, but does not perform it. Production system integration. Real</w:t>
      </w:r>
      <w:r>
        <w:t xml:space="preserve"> </w:t>
      </w:r>
      <w:r>
        <w:t xml:space="preserve">respondent data.</w:t>
      </w:r>
    </w:p>
    <w:bookmarkEnd w:id="24"/>
    <w:bookmarkEnd w:id="25"/>
    <w:bookmarkStart w:id="28" w:name="intake-requirements"/>
    <w:p>
      <w:pPr>
        <w:pStyle w:val="Heading2"/>
      </w:pPr>
      <w:r>
        <w:t xml:space="preserve">3. Intake requirements</w:t>
      </w:r>
    </w:p>
    <w:bookmarkStart w:id="26" w:name="two-instruments-two-authors"/>
    <w:p>
      <w:pPr>
        <w:pStyle w:val="Heading3"/>
      </w:pPr>
      <w:r>
        <w:t xml:space="preserve">3.1 Two instruments, two authors</w:t>
      </w:r>
    </w:p>
    <w:p>
      <w:pPr>
        <w:pStyle w:val="FirstParagraph"/>
      </w:pPr>
      <w:r>
        <w:rPr>
          <w:bCs/>
          <w:b/>
        </w:rPr>
        <w:t xml:space="preserve">R-INT-01 — The respondent instrument is the Wolfsberg CBDDQ V1.4.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system reads a completed CBDDQ rather than issuing a bespoke questionnaire.</w:t>
      </w:r>
      <w:r>
        <w:t xml:space="preserve"> </w:t>
      </w:r>
      <w:r>
        <w:t xml:space="preserve">Respondents already maintain one, senior-attested and annually refreshed.</w:t>
      </w:r>
    </w:p>
    <w:p>
      <w:pPr>
        <w:pStyle w:val="BodyText"/>
      </w:pPr>
      <w:r>
        <w:rPr>
          <w:bCs/>
          <w:b/>
        </w:rPr>
        <w:t xml:space="preserve">R-INT-02 — The provider instrument is a Relationship Scoping Form.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52 fields across ten sections. Completed by the provider, about the account</w:t>
      </w:r>
      <w:r>
        <w:t xml:space="preserve"> </w:t>
      </w:r>
      <w:r>
        <w:t xml:space="preserve">being opened.</w:t>
      </w:r>
    </w:p>
    <w:p>
      <w:pPr>
        <w:pStyle w:val="BodyText"/>
      </w:pPr>
      <w:r>
        <w:rPr>
          <w:bCs/>
          <w:b/>
        </w:rPr>
        <w:t xml:space="preserve">R-INT-03 — Scoping is completed before the CBDDQ is requested.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Required for three reasons: the EDD determination must be made from provider</w:t>
      </w:r>
      <w:r>
        <w:t xml:space="preserve"> </w:t>
      </w:r>
      <w:r>
        <w:t xml:space="preserve">sources before engagement; a sanctions hit means the questionnaire is never</w:t>
      </w:r>
      <w:r>
        <w:t xml:space="preserve"> </w:t>
      </w:r>
      <w:r>
        <w:t xml:space="preserve">issued; and the activity baseline must be formed independently of the</w:t>
      </w:r>
      <w:r>
        <w:t xml:space="preserve"> </w:t>
      </w:r>
      <w:r>
        <w:t xml:space="preserve">respondent’s claims, or the fifteen cross-source contradiction rules compare a</w:t>
      </w:r>
      <w:r>
        <w:t xml:space="preserve"> </w:t>
      </w:r>
      <w:r>
        <w:t xml:space="preserve">document against itself.</w:t>
      </w:r>
    </w:p>
    <w:p>
      <w:pPr>
        <w:pStyle w:val="BodyText"/>
      </w:pPr>
      <w:r>
        <w:rPr>
          <w:bCs/>
          <w:b/>
        </w:rPr>
        <w:t xml:space="preserve">R-INT-04 — The anticipated activity baseline is captured at intake.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31 CFR 1010.610(a)(3) requires periodic review against the type, purpose and</w:t>
      </w:r>
      <w:r>
        <w:t xml:space="preserve"> </w:t>
      </w:r>
      <w:r>
        <w:t xml:space="preserve">anticipated activity of the account. The CBDDQ supplies none of the three.</w:t>
      </w:r>
      <w:r>
        <w:t xml:space="preserve"> </w:t>
      </w:r>
      <w:r>
        <w:t xml:space="preserve">Without this baseline the monitoring requirement is unimplementable.</w:t>
      </w:r>
    </w:p>
    <w:p>
      <w:pPr>
        <w:pStyle w:val="BodyText"/>
      </w:pPr>
      <w:r>
        <w:rPr>
          <w:bCs/>
          <w:b/>
        </w:rPr>
        <w:t xml:space="preserve">R-INT-05 — Hard exclusion determinations come from provider-maintained</w:t>
      </w:r>
      <w:r>
        <w:rPr>
          <w:bCs/>
          <w:b/>
        </w:rPr>
        <w:t xml:space="preserve"> </w:t>
      </w:r>
      <w:r>
        <w:rPr>
          <w:bCs/>
          <w:b/>
        </w:rPr>
        <w:t xml:space="preserve">lists.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party being assessed is not the source of the determination about whether</w:t>
      </w:r>
      <w:r>
        <w:t xml:space="preserve"> </w:t>
      </w:r>
      <w:r>
        <w:t xml:space="preserve">it triggers an exclusion. Two of the three EDD triggers under 1010.610(c) are</w:t>
      </w:r>
      <w:r>
        <w:t xml:space="preserve"> </w:t>
      </w:r>
      <w:r>
        <w:t xml:space="preserve">jurisdictional.</w:t>
      </w:r>
    </w:p>
    <w:p>
      <w:pPr>
        <w:pStyle w:val="BodyText"/>
      </w:pPr>
      <w:r>
        <w:rPr>
          <w:bCs/>
          <w:b/>
        </w:rPr>
        <w:t xml:space="preserve">R-INT-06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Unanswered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preserved as distinct 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CBDDQ uses a</w:t>
      </w:r>
      <w:r>
        <w:t xml:space="preserve"> </w:t>
      </w:r>
      <w:r>
        <w:t xml:space="preserve">“</w:t>
      </w:r>
      <w:r>
        <w:t xml:space="preserve">Please select</w:t>
      </w:r>
      <w:r>
        <w:t xml:space="preserve">”</w:t>
      </w:r>
      <w:r>
        <w:t xml:space="preserve"> </w:t>
      </w:r>
      <w:r>
        <w:t xml:space="preserve">default. Collapsing it to blank or to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inverts the risk on every unanswered question, because unanswered scores the</w:t>
      </w:r>
      <w:r>
        <w:t xml:space="preserve"> </w:t>
      </w:r>
      <w:r>
        <w:t xml:space="preserve">maximum 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often scores zero.</w:t>
      </w:r>
    </w:p>
    <w:bookmarkEnd w:id="26"/>
    <w:bookmarkStart w:id="27" w:name="extraction"/>
    <w:p>
      <w:pPr>
        <w:pStyle w:val="Heading3"/>
      </w:pPr>
      <w:r>
        <w:t xml:space="preserve">3.2 Extraction</w:t>
      </w:r>
    </w:p>
    <w:p>
      <w:pPr>
        <w:pStyle w:val="FirstParagraph"/>
      </w:pPr>
      <w:r>
        <w:rPr>
          <w:bCs/>
          <w:b/>
        </w:rPr>
        <w:t xml:space="preserve">R-EXT-01 — Structural parsing where the document is structured.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CBDDQ question identifiers are stable across every V1.4 submission. Locating a</w:t>
      </w:r>
      <w:r>
        <w:t xml:space="preserve"> </w:t>
      </w:r>
      <w:r>
        <w:t xml:space="preserve">field whose position is fixed is a dictionary lookup, not a language task. This</w:t>
      </w:r>
      <w:r>
        <w:t xml:space="preserve"> </w:t>
      </w:r>
      <w:r>
        <w:t xml:space="preserve">is cheaper, reproducible, and directly addresses the token efficiency criterion.</w:t>
      </w:r>
    </w:p>
    <w:p>
      <w:pPr>
        <w:pStyle w:val="BodyText"/>
      </w:pPr>
      <w:r>
        <w:rPr>
          <w:bCs/>
          <w:b/>
        </w:rPr>
        <w:t xml:space="preserve">R-EXT-02 — A model is used only on genuinely unstructured content.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Roughly eight free-text fields — the section context boxes, country lists,</w:t>
      </w:r>
      <w:r>
        <w:t xml:space="preserve"> </w:t>
      </w:r>
      <w:r>
        <w:t xml:space="preserve">ownership narratives.</w:t>
      </w:r>
    </w:p>
    <w:p>
      <w:pPr>
        <w:pStyle w:val="BodyText"/>
      </w:pPr>
      <w:r>
        <w:rPr>
          <w:bCs/>
          <w:b/>
        </w:rPr>
        <w:t xml:space="preserve">R-EXT-03 — Free-text qualifiers that contradict grid answers are surfaced.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Observed in the real validation document: a product answered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in the grid,</w:t>
      </w:r>
      <w:r>
        <w:t xml:space="preserve"> </w:t>
      </w:r>
      <w:r>
        <w:t xml:space="preserve">with the section context field explaining it had not been offered to new</w:t>
      </w:r>
      <w:r>
        <w:t xml:space="preserve"> </w:t>
      </w:r>
      <w:r>
        <w:t xml:space="preserve">clients since 2018 and that remaining legacy cases carry a heightened risk</w:t>
      </w:r>
      <w:r>
        <w:t xml:space="preserve"> </w:t>
      </w:r>
      <w:r>
        <w:t xml:space="preserve">classification. Grid-only parsing produces the wrong risk picture.</w:t>
      </w:r>
    </w:p>
    <w:p>
      <w:pPr>
        <w:pStyle w:val="BodyText"/>
      </w:pPr>
      <w:r>
        <w:rPr>
          <w:bCs/>
          <w:b/>
        </w:rPr>
        <w:t xml:space="preserve">R-EXT-04 — Branch-level exceptions are applied over entity-level answers.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Partial</w:t>
      </w:r>
    </w:p>
    <w:p>
      <w:pPr>
        <w:pStyle w:val="BodyText"/>
      </w:pPr>
      <w:r>
        <w:t xml:space="preserve">Each CBDDQ section closes with an attestation that answers represent all</w:t>
      </w:r>
      <w:r>
        <w:t xml:space="preserve"> </w:t>
      </w:r>
      <w:r>
        <w:t xml:space="preserve">branches, plus an exception field. An entity-level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may be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one</w:t>
      </w:r>
      <w:r>
        <w:t xml:space="preserve"> </w:t>
      </w:r>
      <w:r>
        <w:t xml:space="preserve">branch. Parsed at entity level with branch overrides applied; where the</w:t>
      </w:r>
      <w:r>
        <w:t xml:space="preserve"> </w:t>
      </w:r>
      <w:r>
        <w:t xml:space="preserve">exception text does not clearly identify the affected question, the case stops</w:t>
      </w:r>
      <w:r>
        <w:t xml:space="preserve"> </w:t>
      </w:r>
      <w:r>
        <w:t xml:space="preserve">at Gate 1 rather than the system guessing.</w:t>
      </w:r>
    </w:p>
    <w:p>
      <w:pPr>
        <w:pStyle w:val="BodyText"/>
      </w:pPr>
      <w:r>
        <w:rPr>
          <w:bCs/>
          <w:b/>
        </w:rPr>
        <w:t xml:space="preserve">R-EXT-05 — Every extracted value carries a source reference.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Resolvable to workbook, sheet, question identifier, raw value and normalised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Cs/>
          <w:b/>
        </w:rPr>
        <w:t xml:space="preserve">R-EXT-06 — Contradictions are reported, never resolved.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Fifteen rules between the two instruments. Choosing between two sources is the</w:t>
      </w:r>
      <w:r>
        <w:t xml:space="preserve"> </w:t>
      </w:r>
      <w:r>
        <w:t xml:space="preserve">analyst’s decision at Gate 1, and recording that choice with a reason is what</w:t>
      </w:r>
      <w:r>
        <w:t xml:space="preserve"> </w:t>
      </w:r>
      <w:r>
        <w:t xml:space="preserve">makes the audit trail defensible.</w:t>
      </w:r>
    </w:p>
    <w:bookmarkEnd w:id="27"/>
    <w:bookmarkEnd w:id="28"/>
    <w:bookmarkStart w:id="29" w:name="risk-model-requirements"/>
    <w:p>
      <w:pPr>
        <w:pStyle w:val="Heading2"/>
      </w:pPr>
      <w:r>
        <w:t xml:space="preserve">4. Risk model requirements</w:t>
      </w:r>
    </w:p>
    <w:p>
      <w:pPr>
        <w:pStyle w:val="FirstParagraph"/>
      </w:pPr>
      <w:r>
        <w:rPr>
          <w:bCs/>
          <w:b/>
        </w:rPr>
        <w:t xml:space="preserve">R-MOD-01 — Decomposition is grounded in published frameworks.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Six inherent risk factors and four control domains, each mapped to a named</w:t>
      </w:r>
      <w:r>
        <w:t xml:space="preserve"> </w:t>
      </w:r>
      <w:r>
        <w:t xml:space="preserve">provision: 31 CFR 1010.610 and 1010.630, FATF Recommendations 7, 18, 6 and 33,</w:t>
      </w:r>
      <w:r>
        <w:t xml:space="preserve"> </w:t>
      </w:r>
      <w:r>
        <w:t xml:space="preserve">and the FFIEC BSA/AML manual for method.</w:t>
      </w:r>
    </w:p>
    <w:p>
      <w:pPr>
        <w:pStyle w:val="BodyText"/>
      </w:pPr>
      <w:r>
        <w:rPr>
          <w:bCs/>
          <w:b/>
        </w:rPr>
        <w:t xml:space="preserve">R-MOD-02 — Weights are configuration, not code.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brief requires scoring parameters tunable by the risk function. Weights,</w:t>
      </w:r>
      <w:r>
        <w:t xml:space="preserve"> </w:t>
      </w:r>
      <w:r>
        <w:t xml:space="preserve">multipliers, the floor and the band boundaries live in a versioned JSON file.</w:t>
      </w:r>
      <w:r>
        <w:t xml:space="preserve"> </w:t>
      </w:r>
      <w:r>
        <w:t xml:space="preserve">Weights must total 100 or the configuration refuses to load — a bad</w:t>
      </w:r>
      <w:r>
        <w:t xml:space="preserve"> </w:t>
      </w:r>
      <w:r>
        <w:t xml:space="preserve">configuration fails on deployment, not silently on a live case.</w:t>
      </w:r>
    </w:p>
    <w:p>
      <w:pPr>
        <w:pStyle w:val="BodyText"/>
      </w:pPr>
      <w:r>
        <w:rPr>
          <w:bCs/>
          <w:b/>
        </w:rPr>
        <w:t xml:space="preserve">R-MOD-03 — Every assessment records the configuration version that produced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A case re-renders under the rules in force when it was scored.</w:t>
      </w:r>
    </w:p>
    <w:p>
      <w:pPr>
        <w:pStyle w:val="BodyText"/>
      </w:pPr>
      <w:r>
        <w:rPr>
          <w:bCs/>
          <w:b/>
        </w:rPr>
        <w:t xml:space="preserve">R-MOD-04 — Controls never eliminate risk.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Residual is floored at 20% of inherent. Four domains at the strongest tier give</w:t>
      </w:r>
      <w:r>
        <w:t xml:space="preserve"> </w:t>
      </w:r>
      <w:r>
        <w:t xml:space="preserve">0.65⁴ = 0.1785, below the floor, so it binds on the best possible submission.</w:t>
      </w:r>
    </w:p>
    <w:p>
      <w:pPr>
        <w:pStyle w:val="BodyText"/>
      </w:pPr>
      <w:r>
        <w:rPr>
          <w:bCs/>
          <w:b/>
        </w:rPr>
        <w:t xml:space="preserve">R-MOD-05 — No single indicator reaches the top band alone.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FFIEC manual warns that no single indicator should determine a risk</w:t>
      </w:r>
      <w:r>
        <w:t xml:space="preserve"> </w:t>
      </w:r>
      <w:r>
        <w:t xml:space="preserve">profile. Nothing inside the weighted model has a kill switch.</w:t>
      </w:r>
    </w:p>
    <w:p>
      <w:pPr>
        <w:pStyle w:val="BodyText"/>
      </w:pPr>
      <w:r>
        <w:rPr>
          <w:bCs/>
          <w:b/>
        </w:rPr>
        <w:t xml:space="preserve">R-MOD-06 — Prohibitions are not weights.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Shell bank determinations under 31 CFR 1010.630 are binary tests run before</w:t>
      </w:r>
      <w:r>
        <w:t xml:space="preserve"> </w:t>
      </w:r>
      <w:r>
        <w:t xml:space="preserve">scoring. A weight would imply good answers elsewhere could outscore a</w:t>
      </w:r>
      <w:r>
        <w:t xml:space="preserve"> </w:t>
      </w:r>
      <w:r>
        <w:t xml:space="preserve">prohibition.</w:t>
      </w:r>
    </w:p>
    <w:p>
      <w:pPr>
        <w:pStyle w:val="BodyText"/>
      </w:pPr>
      <w:r>
        <w:rPr>
          <w:bCs/>
          <w:b/>
        </w:rPr>
        <w:t xml:space="preserve">R-MOD-07 — An unanswered question scores the maximum.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Silence is not evidence of absence. Scoring it low would reward non-disclosure.</w:t>
      </w:r>
    </w:p>
    <w:p>
      <w:pPr>
        <w:pStyle w:val="BodyText"/>
      </w:pPr>
      <w:r>
        <w:rPr>
          <w:bCs/>
          <w:b/>
        </w:rPr>
        <w:t xml:space="preserve">R-MOD-08 — A missing anchor is distinguished from an unanswered question.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“</w:t>
      </w:r>
      <w:r>
        <w:t xml:space="preserve">We asked and got nothing</w:t>
      </w:r>
      <w:r>
        <w:t xml:space="preserve">”</w:t>
      </w:r>
      <w:r>
        <w:t xml:space="preserve"> </w:t>
      </w:r>
      <w:r>
        <w:t xml:space="preserve">scores the maximum.</w:t>
      </w:r>
      <w:r>
        <w:t xml:space="preserve"> </w:t>
      </w:r>
      <w:r>
        <w:t xml:space="preserve">“</w:t>
      </w:r>
      <w:r>
        <w:t xml:space="preserve">The mapping never evaluated</w:t>
      </w:r>
      <w:r>
        <w:t xml:space="preserve"> </w:t>
      </w:r>
      <w:r>
        <w:t xml:space="preserve">this factor</w:t>
      </w:r>
      <w:r>
        <w:t xml:space="preserve">”</w:t>
      </w:r>
      <w:r>
        <w:t xml:space="preserve"> </w:t>
      </w:r>
      <w:r>
        <w:t xml:space="preserve">cannot be scored at all, and the engine refuses. Collapsing them</w:t>
      </w:r>
      <w:r>
        <w:t xml:space="preserve"> </w:t>
      </w:r>
      <w:r>
        <w:t xml:space="preserve">would turn a build defect into a risk finding.</w:t>
      </w:r>
    </w:p>
    <w:p>
      <w:pPr>
        <w:pStyle w:val="BodyText"/>
      </w:pPr>
      <w:r>
        <w:rPr>
          <w:bCs/>
          <w:b/>
        </w:rPr>
        <w:t xml:space="preserve">R-MOD-09 — Scoring criteria are written, not inferred at runtime.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Four anchors — 0, 3, 6, 10 — each with written criteria. An anchor of 7 raises</w:t>
      </w:r>
      <w:r>
        <w:t xml:space="preserve"> </w:t>
      </w:r>
      <w:r>
        <w:t xml:space="preserve">an error rather than rounding; the engine does not interpolate.</w:t>
      </w:r>
    </w:p>
    <w:bookmarkEnd w:id="29"/>
    <w:bookmarkStart w:id="30" w:name="governance-requirements"/>
    <w:p>
      <w:pPr>
        <w:pStyle w:val="Heading2"/>
      </w:pPr>
      <w:r>
        <w:t xml:space="preserve">5. Governance requirements</w:t>
      </w:r>
    </w:p>
    <w:p>
      <w:pPr>
        <w:pStyle w:val="FirstParagraph"/>
      </w:pPr>
      <w:r>
        <w:rPr>
          <w:bCs/>
          <w:b/>
        </w:rPr>
        <w:t xml:space="preserve">R-GOV-01 — The system cannot approve anything.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There is no code path producing a Gate 1 or Gate 2 decision. Each is read from</w:t>
      </w:r>
      <w:r>
        <w:t xml:space="preserve"> </w:t>
      </w:r>
      <w:r>
        <w:t xml:space="preserve">an artifact a named human created and signed. The system refuses on its own; it</w:t>
      </w:r>
      <w:r>
        <w:t xml:space="preserve"> </w:t>
      </w:r>
      <w:r>
        <w:t xml:space="preserve">cannot approve on its own.</w:t>
      </w:r>
    </w:p>
    <w:p>
      <w:pPr>
        <w:pStyle w:val="BodyText"/>
      </w:pPr>
      <w:r>
        <w:rPr>
          <w:bCs/>
          <w:b/>
        </w:rPr>
        <w:t xml:space="preserve">R-GOV-02 — Human checkpoints are placed where the machine is weakest.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Gate 1 after extraction, because extraction is the only step creating</w:t>
      </w:r>
      <w:r>
        <w:t xml:space="preserve"> </w:t>
      </w:r>
      <w:r>
        <w:t xml:space="preserve">information. Gate 2 after scoring. Gate 3 for high-band or EDD cases.</w:t>
      </w:r>
    </w:p>
    <w:p>
      <w:pPr>
        <w:pStyle w:val="BodyText"/>
      </w:pPr>
      <w:r>
        <w:rPr>
          <w:bCs/>
          <w:b/>
        </w:rPr>
        <w:t xml:space="preserve">R-GOV-03 — A human may disagree with any output, record why, and have the</w:t>
      </w:r>
      <w:r>
        <w:rPr>
          <w:bCs/>
          <w:b/>
        </w:rPr>
        <w:t xml:space="preserve"> </w:t>
      </w:r>
      <w:r>
        <w:rPr>
          <w:bCs/>
          <w:b/>
        </w:rPr>
        <w:t xml:space="preserve">consequence modelled.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Direct from the brief. Gate 2 offers accept, override and remand. An override</w:t>
      </w:r>
      <w:r>
        <w:t xml:space="preserve"> </w:t>
      </w:r>
      <w:r>
        <w:t xml:space="preserve">requires a category from a fixed list and a rationale of at least 50</w:t>
      </w:r>
      <w:r>
        <w:t xml:space="preserve"> </w:t>
      </w:r>
      <w:r>
        <w:t xml:space="preserve">characters.</w:t>
      </w:r>
    </w:p>
    <w:p>
      <w:pPr>
        <w:pStyle w:val="BodyText"/>
      </w:pPr>
      <w:r>
        <w:rPr>
          <w:bCs/>
          <w:b/>
        </w:rPr>
        <w:t xml:space="preserve">R-GOV-04 — An override supersedes but never overwrites.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machine output is preserved in the record beside the human decision.</w:t>
      </w:r>
    </w:p>
    <w:p>
      <w:pPr>
        <w:pStyle w:val="BodyText"/>
      </w:pPr>
      <w:r>
        <w:rPr>
          <w:bCs/>
          <w:b/>
        </w:rPr>
        <w:t xml:space="preserve">R-GOV-05 — Remand is a separate remedy from override.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A wrong fact is a Gate 1 failure, not a conclusion to be overridden. A remand</w:t>
      </w:r>
      <w:r>
        <w:t xml:space="preserve"> </w:t>
      </w:r>
      <w:r>
        <w:t xml:space="preserve">produces no effective band and returns the case. A system with only one button</w:t>
      </w:r>
      <w:r>
        <w:t xml:space="preserve"> </w:t>
      </w:r>
      <w:r>
        <w:t xml:space="preserve">teaches reviewers to override their way out of mapping defects.</w:t>
      </w:r>
    </w:p>
    <w:p>
      <w:pPr>
        <w:pStyle w:val="BodyText"/>
      </w:pPr>
      <w:r>
        <w:rPr>
          <w:bCs/>
          <w:b/>
        </w:rPr>
        <w:t xml:space="preserve">R-GOV-06 — Reviewer identity and role are recorded per resolution.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A sanctions determination and an evidence review are usually made on different</w:t>
      </w:r>
      <w:r>
        <w:t xml:space="preserve"> </w:t>
      </w:r>
      <w:r>
        <w:t xml:space="preserve">days by different people in different roles.</w:t>
      </w:r>
    </w:p>
    <w:p>
      <w:pPr>
        <w:pStyle w:val="BodyText"/>
      </w:pPr>
      <w:r>
        <w:rPr>
          <w:bCs/>
          <w:b/>
        </w:rPr>
        <w:t xml:space="preserve">R-GOV-07 — The decision record is the signed artifact itself.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engine reads the signed workbook directly. No intermediate file exists</w:t>
      </w:r>
      <w:r>
        <w:t xml:space="preserve"> </w:t>
      </w:r>
      <w:r>
        <w:t xml:space="preserve">between the signature and the score for anyone to alter.</w:t>
      </w:r>
    </w:p>
    <w:p>
      <w:pPr>
        <w:pStyle w:val="BodyText"/>
      </w:pPr>
      <w:r>
        <w:rPr>
          <w:bCs/>
          <w:b/>
        </w:rPr>
        <w:t xml:space="preserve">R-GOV-08 — Partial decisions are refused.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Resolving some open items is not resolving all of them.</w:t>
      </w:r>
    </w:p>
    <w:p>
      <w:pPr>
        <w:pStyle w:val="BodyText"/>
      </w:pPr>
      <w:r>
        <w:rPr>
          <w:bCs/>
          <w:b/>
        </w:rPr>
        <w:t xml:space="preserve">R-GOV-09 — Escalation is proportionate.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Low and Moderate close at Gate 2. High and Prohibited escalate. An EDD</w:t>
      </w:r>
      <w:r>
        <w:t xml:space="preserve"> </w:t>
      </w:r>
      <w:r>
        <w:t xml:space="preserve">determination forces committee regardless of band, because the trigger is</w:t>
      </w:r>
      <w:r>
        <w:t xml:space="preserve"> </w:t>
      </w:r>
      <w:r>
        <w:t xml:space="preserve">regulatory rather than score-driven.</w:t>
      </w:r>
    </w:p>
    <w:p>
      <w:pPr>
        <w:pStyle w:val="BodyText"/>
      </w:pPr>
      <w:r>
        <w:rPr>
          <w:bCs/>
          <w:b/>
        </w:rPr>
        <w:t xml:space="preserve">R-GOV-10 — Four-eyes review.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Deferred</w:t>
      </w:r>
    </w:p>
    <w:p>
      <w:pPr>
        <w:pStyle w:val="BodyText"/>
      </w:pPr>
      <w:r>
        <w:t xml:space="preserve">One named reviewer can resolve every item and approve. Whether a second</w:t>
      </w:r>
      <w:r>
        <w:t xml:space="preserve"> </w:t>
      </w:r>
      <w:r>
        <w:t xml:space="preserve">signature is required for triggered determinations or waived resolutions is a</w:t>
      </w:r>
      <w:r>
        <w:t xml:space="preserve"> </w:t>
      </w:r>
      <w:r>
        <w:t xml:space="preserve">policy question, not a technical one.</w:t>
      </w:r>
    </w:p>
    <w:p>
      <w:pPr>
        <w:pStyle w:val="BodyText"/>
      </w:pPr>
      <w:r>
        <w:rPr>
          <w:bCs/>
          <w:b/>
        </w:rPr>
        <w:t xml:space="preserve">R-GOV-11 — Gate decision versioning.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Open</w:t>
      </w:r>
    </w:p>
    <w:p>
      <w:pPr>
        <w:pStyle w:val="BodyText"/>
      </w:pPr>
      <w:r>
        <w:t xml:space="preserve">A corrected Gate 1 decision overwrites the earlier one. Gate 2 overrides</w:t>
      </w:r>
      <w:r>
        <w:t xml:space="preserve"> </w:t>
      </w:r>
      <w:r>
        <w:t xml:space="preserve">supersede; Gate 1 should match.</w:t>
      </w:r>
    </w:p>
    <w:p>
      <w:pPr>
        <w:pStyle w:val="BodyText"/>
      </w:pPr>
      <w:r>
        <w:rPr>
          <w:bCs/>
          <w:b/>
        </w:rPr>
        <w:t xml:space="preserve">R-GOV-12 — Decision expiry.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Open</w:t>
      </w:r>
    </w:p>
    <w:p>
      <w:pPr>
        <w:pStyle w:val="BodyText"/>
      </w:pPr>
      <w:r>
        <w:t xml:space="preserve">A decision made months before scoring is treated the same as one made today.</w:t>
      </w:r>
    </w:p>
    <w:bookmarkEnd w:id="30"/>
    <w:bookmarkStart w:id="31" w:name="audit-and-evidence-requirements"/>
    <w:p>
      <w:pPr>
        <w:pStyle w:val="Heading2"/>
      </w:pPr>
      <w:r>
        <w:t xml:space="preserve">6. Audit and evidence requirements</w:t>
      </w:r>
    </w:p>
    <w:p>
      <w:pPr>
        <w:pStyle w:val="FirstParagraph"/>
      </w:pPr>
      <w:r>
        <w:rPr>
          <w:bCs/>
          <w:b/>
        </w:rPr>
        <w:t xml:space="preserve">R-AUD-01 — Every decision traces to its inputs.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Each factor contribution carries the source record identifiers and workbook</w:t>
      </w:r>
      <w:r>
        <w:t xml:space="preserve"> </w:t>
      </w:r>
      <w:r>
        <w:t xml:space="preserve">cells that produced it.</w:t>
      </w:r>
    </w:p>
    <w:p>
      <w:pPr>
        <w:pStyle w:val="BodyText"/>
      </w:pPr>
      <w:r>
        <w:rPr>
          <w:bCs/>
          <w:b/>
        </w:rPr>
        <w:t xml:space="preserve">R-AUD-02 — Scoring is reproducible.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No model call, no network, no clock, no randomness in the scoring path. Same</w:t>
      </w:r>
      <w:r>
        <w:t xml:space="preserve"> </w:t>
      </w:r>
      <w:r>
        <w:t xml:space="preserve">input and version, same output — asserted over 500 runs of one case.</w:t>
      </w:r>
    </w:p>
    <w:p>
      <w:pPr>
        <w:pStyle w:val="BodyText"/>
      </w:pPr>
      <w:r>
        <w:rPr>
          <w:bCs/>
          <w:b/>
        </w:rPr>
        <w:t xml:space="preserve">R-AUD-03 — Rounding is deterministic across runtimes.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Half-up on the decimal digits. JavaScript’s</w:t>
      </w:r>
      <w:r>
        <w:t xml:space="preserve"> </w:t>
      </w:r>
      <w:r>
        <w:rPr>
          <w:rStyle w:val="VerbatimChar"/>
        </w:rPr>
        <w:t xml:space="preserve">toFixed</w:t>
      </w:r>
      <w:r>
        <w:t xml:space="preserve"> </w:t>
      </w:r>
      <w:r>
        <w:t xml:space="preserve">returns 2.67 for 2.675</w:t>
      </w:r>
      <w:r>
        <w:t xml:space="preserve"> </w:t>
      </w:r>
      <w:r>
        <w:t xml:space="preserve">because of binary float representation; a band boundary that flips by runtime</w:t>
      </w:r>
      <w:r>
        <w:t xml:space="preserve"> </w:t>
      </w:r>
      <w:r>
        <w:t xml:space="preserve">is indefensible in an audit trail.</w:t>
      </w:r>
    </w:p>
    <w:p>
      <w:pPr>
        <w:pStyle w:val="BodyText"/>
      </w:pPr>
      <w:r>
        <w:rPr>
          <w:bCs/>
          <w:b/>
        </w:rPr>
        <w:t xml:space="preserve">R-AUD-04 — A complete derivation accompanies every result.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</w:p>
    <w:p>
      <w:pPr>
        <w:pStyle w:val="BodyText"/>
      </w:pPr>
      <w:r>
        <w:t xml:space="preserve">The four admission statuses, validation provenance, the Gate 1 decision and all</w:t>
      </w:r>
      <w:r>
        <w:t xml:space="preserve"> </w:t>
      </w:r>
      <w:r>
        <w:t xml:space="preserve">resolutions, configuration and mapping versions, and one line per factor and</w:t>
      </w:r>
      <w:r>
        <w:t xml:space="preserve"> </w:t>
      </w:r>
      <w:r>
        <w:t xml:space="preserve">control.</w:t>
      </w:r>
    </w:p>
    <w:p>
      <w:pPr>
        <w:pStyle w:val="BodyText"/>
      </w:pPr>
      <w:r>
        <w:rPr>
          <w:bCs/>
          <w:b/>
        </w:rPr>
        <w:t xml:space="preserve">R-AUD-05 — Immutable external retention.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Deferred</w:t>
      </w:r>
    </w:p>
    <w:p>
      <w:pPr>
        <w:pStyle w:val="BodyText"/>
      </w:pPr>
      <w:r>
        <w:t xml:space="preserve">Local hashing provides integrity evidence but does not prove immutable</w:t>
      </w:r>
      <w:r>
        <w:t xml:space="preserve"> </w:t>
      </w:r>
      <w:r>
        <w:t xml:space="preserve">retention.</w:t>
      </w:r>
    </w:p>
    <w:bookmarkEnd w:id="31"/>
    <w:bookmarkStart w:id="32" w:name="non-functional-requirements"/>
    <w:p>
      <w:pPr>
        <w:pStyle w:val="Heading2"/>
      </w:pPr>
      <w:r>
        <w:t xml:space="preserve">7. Non-functional requirements</w:t>
      </w:r>
    </w:p>
    <w:p>
      <w:pPr>
        <w:pStyle w:val="FirstParagraph"/>
      </w:pPr>
      <w:r>
        <w:rPr>
          <w:bCs/>
          <w:b/>
        </w:rPr>
        <w:t xml:space="preserve">R-NFR-01 — Zero runtime dependencies.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Node 18 or newer. No npm install. The test runner is built in; .xlsx parsing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node:zlib</w:t>
      </w:r>
      <w:r>
        <w:t xml:space="preserve">. Setup across a distributed team has no install step to fail.</w:t>
      </w:r>
    </w:p>
    <w:p>
      <w:pPr>
        <w:pStyle w:val="BodyText"/>
      </w:pPr>
      <w:r>
        <w:rPr>
          <w:bCs/>
          <w:b/>
        </w:rPr>
        <w:t xml:space="preserve">R-NFR-02 — Pure functions throughout the scoring path.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Only the runner touches a file. There is no hidden state to arrange, which is</w:t>
      </w:r>
      <w:r>
        <w:t xml:space="preserve"> </w:t>
      </w:r>
      <w:r>
        <w:t xml:space="preserve">what makes the test suite meaningful.</w:t>
      </w:r>
    </w:p>
    <w:p>
      <w:pPr>
        <w:pStyle w:val="BodyText"/>
      </w:pPr>
      <w:r>
        <w:rPr>
          <w:bCs/>
          <w:b/>
        </w:rPr>
        <w:t xml:space="preserve">R-NFR-03 — Failure is explicit.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Every input failure names the file, the field and the reason. No silent</w:t>
      </w:r>
      <w:r>
        <w:t xml:space="preserve"> </w:t>
      </w:r>
      <w:r>
        <w:t xml:space="preserve">defaults anywhere.</w:t>
      </w:r>
    </w:p>
    <w:p>
      <w:pPr>
        <w:pStyle w:val="BodyText"/>
      </w:pPr>
      <w:r>
        <w:rPr>
          <w:bCs/>
          <w:b/>
        </w:rPr>
        <w:t xml:space="preserve">R-NFR-04 — Configuration is separable from code.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The risk function changes a weight without an engineer.</w:t>
      </w:r>
    </w:p>
    <w:p>
      <w:pPr>
        <w:pStyle w:val="BodyText"/>
      </w:pPr>
      <w:r>
        <w:rPr>
          <w:bCs/>
          <w:b/>
        </w:rPr>
        <w:t xml:space="preserve">R-NFR-05 — Production hardening.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Deferred</w:t>
      </w:r>
      <w:r>
        <w:t xml:space="preserve"> </w:t>
      </w:r>
      <w:r>
        <w:t xml:space="preserve">Access control, encryption at rest, retention scheduling, read-audit logging</w:t>
      </w:r>
      <w:r>
        <w:t xml:space="preserve"> </w:t>
      </w:r>
      <w:r>
        <w:t xml:space="preserve">and workflow integration are absent by design at a 5% criterion weight.</w:t>
      </w:r>
    </w:p>
    <w:bookmarkEnd w:id="32"/>
    <w:bookmarkStart w:id="33" w:name="evaluation-requirements"/>
    <w:p>
      <w:pPr>
        <w:pStyle w:val="Heading2"/>
      </w:pPr>
      <w:r>
        <w:t xml:space="preserve">8. Evaluation requirements</w:t>
      </w:r>
    </w:p>
    <w:p>
      <w:pPr>
        <w:pStyle w:val="FirstParagraph"/>
      </w:pPr>
      <w:r>
        <w:rPr>
          <w:bCs/>
          <w:b/>
        </w:rPr>
        <w:t xml:space="preserve">R-EVL-01 — Automated test coverage.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65 tests across six files.</w:t>
      </w:r>
    </w:p>
    <w:p>
      <w:pPr>
        <w:pStyle w:val="BodyText"/>
      </w:pPr>
      <w:r>
        <w:rPr>
          <w:bCs/>
          <w:b/>
        </w:rPr>
        <w:t xml:space="preserve">R-EVL-02 — Determinism is asserted, not claimed.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500 runs of one case, byte-identical.</w:t>
      </w:r>
    </w:p>
    <w:p>
      <w:pPr>
        <w:pStyle w:val="BodyText"/>
      </w:pPr>
      <w:r>
        <w:rPr>
          <w:bCs/>
          <w:b/>
        </w:rPr>
        <w:t xml:space="preserve">R-EVL-03 — Mutation tests run against real data.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Flipping a single field in the real source register and asserting the anchor</w:t>
      </w:r>
      <w:r>
        <w:t xml:space="preserve"> </w:t>
      </w:r>
      <w:r>
        <w:t xml:space="preserve">moves — bearer shares to maximum, shell bank to maximum, payable-through to</w:t>
      </w:r>
      <w:r>
        <w:t xml:space="preserve"> </w:t>
      </w:r>
      <w:r>
        <w:t xml:space="preserve">maximum.</w:t>
      </w:r>
    </w:p>
    <w:p>
      <w:pPr>
        <w:pStyle w:val="BodyText"/>
      </w:pPr>
      <w:r>
        <w:rPr>
          <w:bCs/>
          <w:b/>
        </w:rPr>
        <w:t xml:space="preserve">R-EVL-04 — Refusal paths are tested, not only success paths.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Each admission refusal condition fires independently. Partial decisions still</w:t>
      </w:r>
      <w:r>
        <w:t xml:space="preserve"> </w:t>
      </w:r>
      <w:r>
        <w:t xml:space="preserve">refuse. Placeholder names are rejected.</w:t>
      </w:r>
    </w:p>
    <w:p>
      <w:pPr>
        <w:pStyle w:val="BodyText"/>
      </w:pPr>
      <w:r>
        <w:rPr>
          <w:bCs/>
          <w:b/>
        </w:rPr>
        <w:t xml:space="preserve">R-EVL-05 — Tests are never edited to match output.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A disputed expectation goes to the team and into the decision log. Applied once</w:t>
      </w:r>
      <w:r>
        <w:t xml:space="preserve"> </w:t>
      </w:r>
      <w:r>
        <w:t xml:space="preserve">in practice, where a test expectation was wrong and the code was right.</w:t>
      </w:r>
    </w:p>
    <w:p>
      <w:pPr>
        <w:pStyle w:val="BodyText"/>
      </w:pPr>
      <w:r>
        <w:rPr>
          <w:bCs/>
          <w:b/>
        </w:rPr>
        <w:t xml:space="preserve">R-EVL-06 — Override rate reporting feeds back into the model.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Override rate by factor and category, flagging any factor overridden in a</w:t>
      </w:r>
      <w:r>
        <w:t xml:space="preserve"> </w:t>
      </w:r>
      <w:r>
        <w:t xml:space="preserve">quarter or more of cases. A factor overridden that often is not being</w:t>
      </w:r>
      <w:r>
        <w:t xml:space="preserve"> </w:t>
      </w:r>
      <w:r>
        <w:t xml:space="preserve">overridden because reviewers are wrong.</w:t>
      </w:r>
    </w:p>
    <w:bookmarkEnd w:id="33"/>
    <w:bookmarkStart w:id="34" w:name="traceability-brief-to-mvp"/>
    <w:p>
      <w:pPr>
        <w:pStyle w:val="Heading2"/>
      </w:pPr>
      <w:r>
        <w:t xml:space="preserve">9. Traceability — brief to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Brief statement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Requirements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MVP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to decision-ready in days not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R-INT-01 to 06, R-EXT-01 to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Two-instrument intake, structural parsing, automated contradiction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ruling traceable to inputs and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R-AUD-01, R-AUD-04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record and cell reference on every factor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Foundational data the system can reason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R-EXT-05, R-MOD-01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 source register, 201 fields, canonical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parameters tunable by the risk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R-MOD-02, R-MOD-03, R-NFR-04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JSON configuration with load-time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audit trail for an 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R-AUD-01 to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derivation plus decision record; external retention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prepares, humans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R-GOV-01 to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 path produces a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Decomposition grounded, not invented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R-MOD-01, R-MOD-05, R-MOD-06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factor mapped to a named 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mitigate, never eliminate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R-MOD-04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floor, binding on the best submission, with a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human may disagree and have it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R-GOV-03 to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with category, rationale and preserved machine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respondent data in the repository</w:t>
            </w:r>
          </w:p>
        </w:tc>
      </w:tr>
    </w:tbl>
    <w:bookmarkEnd w:id="34"/>
    <w:bookmarkStart w:id="35" w:name="Xdd4fda352ad70f45aa3bdcf442b41b7b5683dc1"/>
    <w:p>
      <w:pPr>
        <w:pStyle w:val="Heading2"/>
      </w:pPr>
      <w:r>
        <w:t xml:space="preserve">10. Deliberately not specified by the brief — our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The brief left open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Our answer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parts are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Extraction, validation, scoring and reporting automated. Every decision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R-GOV-01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risk is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weighted factors, four control domains multiplied, floored at 20%, four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R-MOD-01 to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human checkpoints 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gates, each at a point where the machine is demonstrably weakest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R-GOV-02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18, zero dependencies; Microsoft 365 Copilot for the 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R-NFR-01</w:t>
            </w:r>
          </w:p>
        </w:tc>
      </w:tr>
    </w:tbl>
    <w:bookmarkEnd w:id="35"/>
    <w:bookmarkStart w:id="36" w:name="X7108d56cbba35f9018235d78c0aac9c33beea37"/>
    <w:p>
      <w:pPr>
        <w:pStyle w:val="Heading2"/>
      </w:pPr>
      <w:r>
        <w:t xml:space="preserve">11. Open items requiring a decision outside engineering</w:t>
      </w:r>
    </w:p>
    <w:p>
      <w:pPr>
        <w:pStyle w:val="FirstParagraph"/>
      </w:pPr>
      <w:r>
        <w:rPr>
          <w:bCs/>
          <w:b/>
        </w:rPr>
        <w:t xml:space="preserve">OI-01 — Sanctioned-jurisdiction presence is not established by either</w:t>
      </w:r>
      <w:r>
        <w:rPr>
          <w:bCs/>
          <w:b/>
        </w:rPr>
        <w:t xml:space="preserve"> </w:t>
      </w:r>
      <w:r>
        <w:rPr>
          <w:bCs/>
          <w:b/>
        </w:rPr>
        <w:t xml:space="preserve">instrument.</w:t>
      </w:r>
      <w:r>
        <w:t xml:space="preserve"> </w:t>
      </w:r>
      <w:r>
        <w:t xml:space="preserve">A field must be added to the scoping form, or the determination</w:t>
      </w:r>
      <w:r>
        <w:t xml:space="preserve"> </w:t>
      </w:r>
      <w:r>
        <w:t xml:space="preserve">formalised as a screening output. Every case stalls here until resolved.</w:t>
      </w:r>
      <w:r>
        <w:t xml:space="preserve"> </w:t>
      </w:r>
      <w:r>
        <w:rPr>
          <w:iCs/>
          <w:i/>
        </w:rPr>
        <w:t xml:space="preserve">Owner: Risk Model Owner with Sanctions Operations.</w:t>
      </w:r>
    </w:p>
    <w:p>
      <w:pPr>
        <w:pStyle w:val="BodyText"/>
      </w:pPr>
      <w:r>
        <w:rPr>
          <w:bCs/>
          <w:b/>
        </w:rPr>
        <w:t xml:space="preserve">OI-02 — The approved mapping catalogue does not cover the model.</w:t>
      </w:r>
      <w:r>
        <w:t xml:space="preserve"> </w:t>
      </w:r>
      <w:r>
        <w:t xml:space="preserve">Six rules</w:t>
      </w:r>
      <w:r>
        <w:t xml:space="preserve"> </w:t>
      </w:r>
      <w:r>
        <w:t xml:space="preserve">across three of ten model areas, keyed on an identifier namespace that does not</w:t>
      </w:r>
      <w:r>
        <w:t xml:space="preserve"> </w:t>
      </w:r>
      <w:r>
        <w:t xml:space="preserve">appear in the source register. Under the registered configuration a case cannot</w:t>
      </w:r>
      <w:r>
        <w:t xml:space="preserve"> </w:t>
      </w:r>
      <w:r>
        <w:t xml:space="preserve">be scored, and the engine correctly refuses. A crosswalk and an approved anchor</w:t>
      </w:r>
      <w:r>
        <w:t xml:space="preserve"> </w:t>
      </w:r>
      <w:r>
        <w:t xml:space="preserve">derivation layer are both required.</w:t>
      </w:r>
      <w:r>
        <w:t xml:space="preserve"> </w:t>
      </w:r>
      <w:r>
        <w:rPr>
          <w:iCs/>
          <w:i/>
        </w:rPr>
        <w:t xml:space="preserve">Owner: Risk Model Owner.</w:t>
      </w:r>
    </w:p>
    <w:p>
      <w:pPr>
        <w:pStyle w:val="BodyText"/>
      </w:pPr>
      <w:r>
        <w:rPr>
          <w:bCs/>
          <w:b/>
        </w:rPr>
        <w:t xml:space="preserve">OI-03 — Four-eyes review.</w:t>
      </w:r>
      <w:r>
        <w:t xml:space="preserve"> </w:t>
      </w:r>
      <w:r>
        <w:t xml:space="preserve">Policy decision.</w:t>
      </w:r>
      <w:r>
        <w:t xml:space="preserve"> </w:t>
      </w:r>
      <w:r>
        <w:rPr>
          <w:iCs/>
          <w:i/>
        </w:rPr>
        <w:t xml:space="preserve">Owner: Compliance.</w:t>
      </w:r>
    </w:p>
    <w:p>
      <w:pPr>
        <w:pStyle w:val="BodyText"/>
      </w:pPr>
      <w:r>
        <w:rPr>
          <w:bCs/>
          <w:b/>
        </w:rPr>
        <w:t xml:space="preserve">OI-04 — Gate decision versioning and expiry.</w:t>
      </w:r>
      <w:r>
        <w:t xml:space="preserve"> </w:t>
      </w:r>
      <w:r>
        <w:rPr>
          <w:iCs/>
          <w:i/>
        </w:rPr>
        <w:t xml:space="preserve">Owner: Risk Model Owner.</w:t>
      </w:r>
    </w:p>
    <w:p>
      <w:pPr>
        <w:pStyle w:val="BodyText"/>
      </w:pPr>
      <w:r>
        <w:rPr>
          <w:bCs/>
          <w:b/>
        </w:rPr>
        <w:t xml:space="preserve">OI-05 — Gate 3 agent specification.</w:t>
      </w:r>
      <w:r>
        <w:t xml:space="preserve"> </w:t>
      </w:r>
      <w:r>
        <w:t xml:space="preserve">Named in the planned structure but not</w:t>
      </w:r>
      <w:r>
        <w:t xml:space="preserve"> </w:t>
      </w:r>
      <w:r>
        <w:t xml:space="preserve">specified. The question to settle first is what the agent is forbidden to do</w:t>
      </w:r>
      <w:r>
        <w:t xml:space="preserve"> </w:t>
      </w:r>
      <w:r>
        <w:t xml:space="preserve">and what verifies that — the intake agent is credible because a separate</w:t>
      </w:r>
      <w:r>
        <w:t xml:space="preserve"> </w:t>
      </w:r>
      <w:r>
        <w:t xml:space="preserve">deterministic component confirms it did not conclude.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72B4D"/>
      <w:sz w:val="21"/>
      <w:szCs w:val="21"/>
    </w:rPr>
  </w:style>
  <w:style w:styleId="BodyText" w:type="paragraph">
    <w:name w:val="Body Text"/>
    <w:basedOn w:val="Normal"/>
    <w:link w:val="BodyTextChar"/>
    <w:pPr>
      <w:spacing w:after="140" w:before="0"/>
    </w:pPr>
    <w:qFormat/>
    <w:rPr>
      <w:rFonts w:ascii="Calibri" w:cs="Calibri" w:hAnsi="Calibri"/>
      <w:color w:val="172B4D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cs="Calibri" w:hAnsi="Calibri"/>
      <w:color w:val="172B4D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jc w:val="center"/>
      <w:spacing w:after="120" w:before="0"/>
    </w:pPr>
    <w:rPr>
      <w:rFonts w:ascii="Calibri Light" w:cs="Calibri Light" w:hAnsi="Calibri Light"/>
      <w:b/>
      <w:bCs/>
      <w:color w:val="1F3864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jc w:val="center"/>
      <w:spacing w:after="480" w:before="0"/>
    </w:pPr>
    <w:rPr>
      <w:rFonts w:ascii="Calibri" w:cs="Calibri" w:hAnsi="Calibri"/>
      <w:color w:val="595959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  <w:spacing w:after="160" w:before="400"/>
      <w:pBdr>
        <w:bottom w:color="C8D0DC" w:space="4" w:sz="4" w:val="single"/>
      </w:pBdr>
    </w:pPr>
    <w:rPr>
      <w:rFonts w:ascii="Calibri Light" w:cs="Calibri Light" w:hAnsi="Calibri Light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  <w:spacing w:after="120" w:before="320"/>
    </w:pPr>
    <w:rPr>
      <w:rFonts w:ascii="Calibri Light" w:cs="Calibri Light" w:hAnsi="Calibri Light"/>
      <w:b/>
      <w:bCs/>
      <w:color w:val="005A78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  <w:spacing w:after="100" w:before="240"/>
    </w:pPr>
    <w:rPr>
      <w:rFonts w:ascii="Calibri" w:cs="Calibri" w:hAnsi="Calibri"/>
      <w:b/>
      <w:bCs/>
      <w:color w:val="172B4D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  <w:spacing w:after="80" w:before="200"/>
    </w:pPr>
    <w:rPr>
      <w:rFonts w:ascii="Calibri" w:cs="Calibri" w:hAnsi="Calibri"/>
      <w:b/>
      <w:bCs/>
      <w:color w:val="595959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/>
    </w:pPr>
    <w:rPr>
      <w:rFonts w:ascii="Calibri" w:hAnsi="Calibri"/>
      <w:sz w:val="19"/>
      <w:szCs w:val="19"/>
    </w:rPr>
    <w:tblPr>
      <w:tblBorders>
        <w:top w:color="BFBFBF" w:space="0" w:sz="4" w:val="single"/>
        <w:left w:color="auto" w:space="0" w:sz="0" w:val="none"/>
        <w:bottom w:color="BFBFBF" w:space="0" w:sz="4" w:val="single"/>
        <w:right w:color="auto" w:space="0" w:sz="0" w:val="none"/>
        <w:insideH w:color="D9D9D9" w:space="0" w:sz="4" w:val="single"/>
        <w:insideV w:color="auto" w:space="0" w:sz="0" w:val="none"/>
      </w:tblBorders>
      <w:tblCellMar>
        <w:top w:type="dxa" w:w="60"/>
        <w:left w:type="dxa" w:w="100"/>
        <w:bottom w:type="dxa" w:w="60"/>
        <w:right w:type="dxa" w:w="10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0B5394"/>
      <w:sz w:val="17"/>
      <w:szCs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Correspondent Gate</dc:title>
  <dc:creator>Genius Hacks Q3 2026 · Risk Assessment Workbench</dc:creator>
  <cp:keywords/>
  <dcterms:created xsi:type="dcterms:W3CDTF">2026-10-26T16:26:13Z</dcterms:created>
  <dcterms:modified xsi:type="dcterms:W3CDTF">2026-10-26T16:26:13Z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October 2026</vt:lpwstr>
  </property>
  <property fmtid="{D5CDD505-2E9C-101B-9397-08002B2CF9AE}" pid="3" name="subtitle">
    <vt:lpwstr>Expanded Requirements and MVP Traceability</vt:lpwstr>
  </property>
</Properties>
</file>