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5F"/>
          <w:sz w:val="54"/>
        </w:rPr>
        <w:t>CORRESPONDENT GATE</w:t>
      </w:r>
    </w:p>
    <w:p>
      <w:pPr>
        <w:jc w:val="center"/>
      </w:pPr>
      <w:r>
        <w:rPr>
          <w:b/>
          <w:color w:val="1F7A70"/>
          <w:sz w:val="38"/>
        </w:rPr>
        <w:t>Production Readiness Strategy - Deployment Stage 5</w:t>
      </w:r>
    </w:p>
    <w:p>
      <w:pPr>
        <w:jc w:val="center"/>
      </w:pPr>
      <w:r>
        <w:rPr>
          <w:i/>
        </w:rPr>
        <w:t>Theoretical target architecture, deployment controls, token optimization, integration strategy, and go-live path</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Document field</w:t>
            </w:r>
          </w:p>
        </w:tc>
        <w:tc>
          <w:tcPr>
            <w:tcW w:type="dxa" w:w="5112"/>
            <w:shd w:fill="173F5F"/>
          </w:tcPr>
          <w:p>
            <w:r>
              <w:rPr>
                <w:b/>
                <w:color w:val="FFFFFF"/>
                <w:sz w:val="16"/>
              </w:rPr>
              <w:t>Value</w:t>
            </w:r>
          </w:p>
        </w:tc>
      </w:tr>
      <w:tr>
        <w:tc>
          <w:tcPr>
            <w:tcW w:type="dxa" w:w="5112"/>
          </w:tcPr>
          <w:p>
            <w:pPr>
              <w:spacing w:after="20"/>
            </w:pPr>
            <w:r>
              <w:rPr>
                <w:sz w:val="16"/>
              </w:rPr>
              <w:t>Status</w:t>
            </w:r>
          </w:p>
        </w:tc>
        <w:tc>
          <w:tcPr>
            <w:tcW w:type="dxa" w:w="5112"/>
          </w:tcPr>
          <w:p>
            <w:pPr>
              <w:spacing w:after="20"/>
            </w:pPr>
            <w:r>
              <w:rPr>
                <w:sz w:val="16"/>
              </w:rPr>
              <w:t>RECOMMENDATION / target-state design. Nothing in this document is represented as deployed or tested in production.</w:t>
            </w:r>
          </w:p>
        </w:tc>
      </w:tr>
      <w:tr>
        <w:tc>
          <w:tcPr>
            <w:tcW w:type="dxa" w:w="5112"/>
            <w:shd w:fill="F4F7FA"/>
          </w:tcPr>
          <w:p>
            <w:pPr>
              <w:spacing w:after="20"/>
            </w:pPr>
            <w:r>
              <w:rPr>
                <w:sz w:val="16"/>
              </w:rPr>
              <w:t>Starting point</w:t>
            </w:r>
          </w:p>
        </w:tc>
        <w:tc>
          <w:tcPr>
            <w:tcW w:type="dxa" w:w="5112"/>
            <w:shd w:fill="F4F7FA"/>
          </w:tcPr>
          <w:p>
            <w:pPr>
              <w:spacing w:after="20"/>
            </w:pPr>
            <w:r>
              <w:rPr>
                <w:sz w:val="16"/>
              </w:rPr>
              <w:t>Hackathon MVP with file-based packets, two semantic/narrative Agents, deterministic Node.js validation/scoring, human Gates 1-3, and synthetic data.</w:t>
            </w:r>
          </w:p>
        </w:tc>
      </w:tr>
      <w:tr>
        <w:tc>
          <w:tcPr>
            <w:tcW w:type="dxa" w:w="5112"/>
          </w:tcPr>
          <w:p>
            <w:pPr>
              <w:spacing w:after="20"/>
            </w:pPr>
            <w:r>
              <w:rPr>
                <w:sz w:val="16"/>
              </w:rPr>
              <w:t>Target outcome</w:t>
            </w:r>
          </w:p>
        </w:tc>
        <w:tc>
          <w:tcPr>
            <w:tcW w:type="dxa" w:w="5112"/>
          </w:tcPr>
          <w:p>
            <w:pPr>
              <w:spacing w:after="20"/>
            </w:pPr>
            <w:r>
              <w:rPr>
                <w:sz w:val="16"/>
              </w:rPr>
              <w:t>Secure, supportable, auditable, scalable operational service for correspondent-banking onboarding and periodic review.</w:t>
            </w:r>
          </w:p>
        </w:tc>
      </w:tr>
      <w:tr>
        <w:tc>
          <w:tcPr>
            <w:tcW w:type="dxa" w:w="5112"/>
            <w:shd w:fill="F4F7FA"/>
          </w:tcPr>
          <w:p>
            <w:pPr>
              <w:spacing w:after="20"/>
            </w:pPr>
            <w:r>
              <w:rPr>
                <w:sz w:val="16"/>
              </w:rPr>
              <w:t>Core rule</w:t>
            </w:r>
          </w:p>
        </w:tc>
        <w:tc>
          <w:tcPr>
            <w:tcW w:type="dxa" w:w="5112"/>
            <w:shd w:fill="F4F7FA"/>
          </w:tcPr>
          <w:p>
            <w:pPr>
              <w:spacing w:after="20"/>
            </w:pPr>
            <w:r>
              <w:rPr>
                <w:sz w:val="16"/>
              </w:rPr>
              <w:t>AI interprets and drafts; deterministic services validate and calculate; authorized humans decide.</w:t>
            </w:r>
          </w:p>
        </w:tc>
      </w:tr>
      <w:tr>
        <w:tc>
          <w:tcPr>
            <w:tcW w:type="dxa" w:w="5112"/>
          </w:tcPr>
          <w:p>
            <w:pPr>
              <w:spacing w:after="20"/>
            </w:pPr>
            <w:r>
              <w:rPr>
                <w:sz w:val="16"/>
              </w:rPr>
              <w:t>Primary platform recommendation</w:t>
            </w:r>
          </w:p>
        </w:tc>
        <w:tc>
          <w:tcPr>
            <w:tcW w:type="dxa" w:w="5112"/>
          </w:tcPr>
          <w:p>
            <w:pPr>
              <w:spacing w:after="20"/>
            </w:pPr>
            <w:r>
              <w:rPr>
                <w:sz w:val="16"/>
              </w:rPr>
              <w:t>Microsoft Power Platform plus Microsoft Copilot Studio and Azure integration services, subject to approved licensing, data residency, security, and compliance review.</w:t>
            </w:r>
          </w:p>
        </w:tc>
      </w:tr>
    </w:tbl>
    <w:p/>
    <w:tbl>
      <w:tblPr>
        <w:tblW w:type="auto" w:w="0"/>
        <w:tblLook w:firstColumn="1" w:firstRow="1" w:lastColumn="0" w:lastRow="0" w:noHBand="0" w:noVBand="1" w:val="04A0"/>
      </w:tblPr>
      <w:tblGrid>
        <w:gridCol w:w="10224"/>
      </w:tblGrid>
      <w:tr>
        <w:tc>
          <w:tcPr>
            <w:tcW w:type="dxa" w:w="10224"/>
            <w:shd w:fill="FFF2CC"/>
          </w:tcPr>
          <w:p>
            <w:r>
              <w:rPr>
                <w:b/>
                <w:color w:val="1F7A70"/>
              </w:rPr>
              <w:t xml:space="preserve">PRODUCTION PRINCIPLE  </w:t>
            </w:r>
            <w:r>
              <w:t>Do not “lift and shift” the hackathon packets. Preserve the control model, then replace local files and manual handoffs with governed data, managed workflows, authenticated applications, deployment pipelines, telemetry, and operational ownership.</w:t>
            </w:r>
          </w:p>
        </w:tc>
      </w:tr>
    </w:tbl>
    <w:p/>
    <w:p>
      <w:pPr>
        <w:pStyle w:val="Heading1"/>
      </w:pPr>
      <w:r>
        <w:t>1. Scope and deployment objectives</w:t>
      </w:r>
    </w:p>
    <w:p>
      <w:pPr>
        <w:pStyle w:val="ListBullet"/>
      </w:pPr>
      <w:r>
        <w:t>Convert the MVP into an operational case-management capability without allowing an Agent to make the relationship decision.</w:t>
      </w:r>
    </w:p>
    <w:p>
      <w:pPr>
        <w:pStyle w:val="ListBullet"/>
      </w:pPr>
      <w:r>
        <w:t>Make source facts, transformations, validation outcomes, mappings, scores, overrides, approvals, and retained evidence queryable and auditable.</w:t>
      </w:r>
    </w:p>
    <w:p>
      <w:pPr>
        <w:pStyle w:val="ListBullet"/>
      </w:pPr>
      <w:r>
        <w:t>Support concurrency, retries, idempotency, security roles, separation of duties, controlled configuration promotion, disaster recovery, and support operations.</w:t>
      </w:r>
    </w:p>
    <w:p>
      <w:pPr>
        <w:pStyle w:val="ListBullet"/>
      </w:pPr>
      <w:r>
        <w:t>Measure model use, latency, quality, refusal rates, cost, and downstream business outcomes.</w:t>
      </w:r>
    </w:p>
    <w:p>
      <w:pPr>
        <w:pStyle w:val="ListBullet"/>
      </w:pPr>
      <w:r>
        <w:t>Keep production readiness separate from policy approval: Risk Model Owner, Compliance, Legal, Security, Architecture, Data Protection, and Operations must approve their own controls.</w:t>
      </w:r>
    </w:p>
    <w:p>
      <w:pPr>
        <w:pStyle w:val="Heading1"/>
      </w:pPr>
      <w:r>
        <w:t>2. Recommended product and application stack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Capability</w:t>
            </w:r>
          </w:p>
        </w:tc>
        <w:tc>
          <w:tcPr>
            <w:tcW w:type="dxa" w:w="2556"/>
            <w:shd w:fill="173F5F"/>
          </w:tcPr>
          <w:p>
            <w:r>
              <w:rPr>
                <w:b/>
                <w:color w:val="FFFFFF"/>
                <w:sz w:val="16"/>
              </w:rPr>
              <w:t>Recommended tool</w:t>
            </w:r>
          </w:p>
        </w:tc>
        <w:tc>
          <w:tcPr>
            <w:tcW w:type="dxa" w:w="2556"/>
            <w:shd w:fill="173F5F"/>
          </w:tcPr>
          <w:p>
            <w:r>
              <w:rPr>
                <w:b/>
                <w:color w:val="FFFFFF"/>
                <w:sz w:val="16"/>
              </w:rPr>
              <w:t>Why it fits</w:t>
            </w:r>
          </w:p>
        </w:tc>
        <w:tc>
          <w:tcPr>
            <w:tcW w:type="dxa" w:w="2556"/>
            <w:shd w:fill="173F5F"/>
          </w:tcPr>
          <w:p>
            <w:r>
              <w:rPr>
                <w:b/>
                <w:color w:val="FFFFFF"/>
                <w:sz w:val="16"/>
              </w:rPr>
              <w:t>Key guardrail / alternative</w:t>
            </w:r>
          </w:p>
        </w:tc>
      </w:tr>
      <w:tr>
        <w:tc>
          <w:tcPr>
            <w:tcW w:type="dxa" w:w="2556"/>
          </w:tcPr>
          <w:p>
            <w:pPr>
              <w:spacing w:after="20"/>
            </w:pPr>
            <w:r>
              <w:rPr>
                <w:sz w:val="16"/>
              </w:rPr>
              <w:t>Case and review application</w:t>
            </w:r>
          </w:p>
        </w:tc>
        <w:tc>
          <w:tcPr>
            <w:tcW w:type="dxa" w:w="2556"/>
          </w:tcPr>
          <w:p>
            <w:pPr>
              <w:spacing w:after="20"/>
            </w:pPr>
            <w:r>
              <w:rPr>
                <w:sz w:val="16"/>
              </w:rPr>
              <w:t>Power Apps model-driven app</w:t>
            </w:r>
          </w:p>
        </w:tc>
        <w:tc>
          <w:tcPr>
            <w:tcW w:type="dxa" w:w="2556"/>
          </w:tcPr>
          <w:p>
            <w:pPr>
              <w:spacing w:after="20"/>
            </w:pPr>
            <w:r>
              <w:rPr>
                <w:sz w:val="16"/>
              </w:rPr>
              <w:t>Dataverse-oriented forms, views, business process flows, role-aware case work queues, and strong fit for structured regulated workflows.</w:t>
            </w:r>
          </w:p>
        </w:tc>
        <w:tc>
          <w:tcPr>
            <w:tcW w:type="dxa" w:w="2556"/>
          </w:tcPr>
          <w:p>
            <w:pPr>
              <w:spacing w:after="20"/>
            </w:pPr>
            <w:r>
              <w:rPr>
                <w:sz w:val="16"/>
              </w:rPr>
              <w:t>Use a custom web app only if UX, throughput, or integration requirements exceed Power Apps limits.</w:t>
            </w:r>
          </w:p>
        </w:tc>
      </w:tr>
      <w:tr>
        <w:tc>
          <w:tcPr>
            <w:tcW w:type="dxa" w:w="2556"/>
            <w:shd w:fill="F4F7FA"/>
          </w:tcPr>
          <w:p>
            <w:pPr>
              <w:spacing w:after="20"/>
            </w:pPr>
            <w:r>
              <w:rPr>
                <w:sz w:val="16"/>
              </w:rPr>
              <w:t>System of record</w:t>
            </w:r>
          </w:p>
        </w:tc>
        <w:tc>
          <w:tcPr>
            <w:tcW w:type="dxa" w:w="2556"/>
            <w:shd w:fill="F4F7FA"/>
          </w:tcPr>
          <w:p>
            <w:pPr>
              <w:spacing w:after="20"/>
            </w:pPr>
            <w:r>
              <w:rPr>
                <w:sz w:val="16"/>
              </w:rPr>
              <w:t>Microsoft Dataverse</w:t>
            </w:r>
          </w:p>
        </w:tc>
        <w:tc>
          <w:tcPr>
            <w:tcW w:type="dxa" w:w="2556"/>
            <w:shd w:fill="F4F7FA"/>
          </w:tcPr>
          <w:p>
            <w:pPr>
              <w:spacing w:after="20"/>
            </w:pPr>
            <w:r>
              <w:rPr>
                <w:sz w:val="16"/>
              </w:rPr>
              <w:t>Business-focused tables, relationships, validation, role/row/column security, audit support, and reuse across Power Apps, Power Automate, and Power BI.</w:t>
            </w:r>
          </w:p>
        </w:tc>
        <w:tc>
          <w:tcPr>
            <w:tcW w:type="dxa" w:w="2556"/>
            <w:shd w:fill="F4F7FA"/>
          </w:tcPr>
          <w:p>
            <w:pPr>
              <w:spacing w:after="20"/>
            </w:pPr>
            <w:r>
              <w:rPr>
                <w:sz w:val="16"/>
              </w:rPr>
              <w:t>Do not use SharePoint lists as the authoritative risk case store.</w:t>
            </w:r>
          </w:p>
        </w:tc>
      </w:tr>
      <w:tr>
        <w:tc>
          <w:tcPr>
            <w:tcW w:type="dxa" w:w="2556"/>
          </w:tcPr>
          <w:p>
            <w:pPr>
              <w:spacing w:after="20"/>
            </w:pPr>
            <w:r>
              <w:rPr>
                <w:sz w:val="16"/>
              </w:rPr>
              <w:t>Agent experience</w:t>
            </w:r>
          </w:p>
        </w:tc>
        <w:tc>
          <w:tcPr>
            <w:tcW w:type="dxa" w:w="2556"/>
          </w:tcPr>
          <w:p>
            <w:pPr>
              <w:spacing w:after="20"/>
            </w:pPr>
            <w:r>
              <w:rPr>
                <w:sz w:val="16"/>
              </w:rPr>
              <w:t>Microsoft Copilot Studio</w:t>
            </w:r>
          </w:p>
        </w:tc>
        <w:tc>
          <w:tcPr>
            <w:tcW w:type="dxa" w:w="2556"/>
          </w:tcPr>
          <w:p>
            <w:pPr>
              <w:spacing w:after="20"/>
            </w:pPr>
            <w:r>
              <w:rPr>
                <w:sz w:val="16"/>
              </w:rPr>
              <w:t>Managed Agent authoring, authentication, actions, analytics, environment integration, and controlled publishing.</w:t>
            </w:r>
          </w:p>
        </w:tc>
        <w:tc>
          <w:tcPr>
            <w:tcW w:type="dxa" w:w="2556"/>
          </w:tcPr>
          <w:p>
            <w:pPr>
              <w:spacing w:after="20"/>
            </w:pPr>
            <w:r>
              <w:rPr>
                <w:sz w:val="16"/>
              </w:rPr>
              <w:t>Agents propose facts and narratives; no direct approval or official scoring.</w:t>
            </w:r>
          </w:p>
        </w:tc>
      </w:tr>
      <w:tr>
        <w:tc>
          <w:tcPr>
            <w:tcW w:type="dxa" w:w="2556"/>
            <w:shd w:fill="F4F7FA"/>
          </w:tcPr>
          <w:p>
            <w:pPr>
              <w:spacing w:after="20"/>
            </w:pPr>
            <w:r>
              <w:rPr>
                <w:sz w:val="16"/>
              </w:rPr>
              <w:t>Workflow and approvals</w:t>
            </w:r>
          </w:p>
        </w:tc>
        <w:tc>
          <w:tcPr>
            <w:tcW w:type="dxa" w:w="2556"/>
            <w:shd w:fill="F4F7FA"/>
          </w:tcPr>
          <w:p>
            <w:pPr>
              <w:spacing w:after="20"/>
            </w:pPr>
            <w:r>
              <w:rPr>
                <w:sz w:val="16"/>
              </w:rPr>
              <w:t>Power Automate cloud flows</w:t>
            </w:r>
          </w:p>
        </w:tc>
        <w:tc>
          <w:tcPr>
            <w:tcW w:type="dxa" w:w="2556"/>
            <w:shd w:fill="F4F7FA"/>
          </w:tcPr>
          <w:p>
            <w:pPr>
              <w:spacing w:after="20"/>
            </w:pPr>
            <w:r>
              <w:rPr>
                <w:sz w:val="16"/>
              </w:rPr>
              <w:t>Human tasks, notifications, approvals, timers, reminders, escalations, and connector-based orchestration.</w:t>
            </w:r>
          </w:p>
        </w:tc>
        <w:tc>
          <w:tcPr>
            <w:tcW w:type="dxa" w:w="2556"/>
            <w:shd w:fill="F4F7FA"/>
          </w:tcPr>
          <w:p>
            <w:pPr>
              <w:spacing w:after="20"/>
            </w:pPr>
            <w:r>
              <w:rPr>
                <w:sz w:val="16"/>
              </w:rPr>
              <w:t>Long-running or high-throughput technical orchestration should use Azure Logic Apps or Durable Functions.</w:t>
            </w:r>
          </w:p>
        </w:tc>
      </w:tr>
      <w:tr>
        <w:tc>
          <w:tcPr>
            <w:tcW w:type="dxa" w:w="2556"/>
          </w:tcPr>
          <w:p>
            <w:pPr>
              <w:spacing w:after="20"/>
            </w:pPr>
            <w:r>
              <w:rPr>
                <w:sz w:val="16"/>
              </w:rPr>
              <w:t>Deterministic validation/scoring</w:t>
            </w:r>
          </w:p>
        </w:tc>
        <w:tc>
          <w:tcPr>
            <w:tcW w:type="dxa" w:w="2556"/>
          </w:tcPr>
          <w:p>
            <w:pPr>
              <w:spacing w:after="20"/>
            </w:pPr>
            <w:r>
              <w:rPr>
                <w:sz w:val="16"/>
              </w:rPr>
              <w:t>Azure Functions or Azure Container Apps running the existing Node.js modules</w:t>
            </w:r>
          </w:p>
        </w:tc>
        <w:tc>
          <w:tcPr>
            <w:tcW w:type="dxa" w:w="2556"/>
          </w:tcPr>
          <w:p>
            <w:pPr>
              <w:spacing w:after="20"/>
            </w:pPr>
            <w:r>
              <w:rPr>
                <w:sz w:val="16"/>
              </w:rPr>
              <w:t>Preserves tested deterministic logic, enables versioned APIs, scaling, private networking, structured logs, and managed deployment.</w:t>
            </w:r>
          </w:p>
        </w:tc>
        <w:tc>
          <w:tcPr>
            <w:tcW w:type="dxa" w:w="2556"/>
          </w:tcPr>
          <w:p>
            <w:pPr>
              <w:spacing w:after="20"/>
            </w:pPr>
            <w:r>
              <w:rPr>
                <w:sz w:val="16"/>
              </w:rPr>
              <w:t>Do not rewrite scoring in prompt logic or Power Fx.</w:t>
            </w:r>
          </w:p>
        </w:tc>
      </w:tr>
      <w:tr>
        <w:tc>
          <w:tcPr>
            <w:tcW w:type="dxa" w:w="2556"/>
            <w:shd w:fill="F4F7FA"/>
          </w:tcPr>
          <w:p>
            <w:pPr>
              <w:spacing w:after="20"/>
            </w:pPr>
            <w:r>
              <w:rPr>
                <w:sz w:val="16"/>
              </w:rPr>
              <w:t>Eventing and decoupling</w:t>
            </w:r>
          </w:p>
        </w:tc>
        <w:tc>
          <w:tcPr>
            <w:tcW w:type="dxa" w:w="2556"/>
            <w:shd w:fill="F4F7FA"/>
          </w:tcPr>
          <w:p>
            <w:pPr>
              <w:spacing w:after="20"/>
            </w:pPr>
            <w:r>
              <w:rPr>
                <w:sz w:val="16"/>
              </w:rPr>
              <w:t>Azure Service Bus</w:t>
            </w:r>
          </w:p>
        </w:tc>
        <w:tc>
          <w:tcPr>
            <w:tcW w:type="dxa" w:w="2556"/>
            <w:shd w:fill="F4F7FA"/>
          </w:tcPr>
          <w:p>
            <w:pPr>
              <w:spacing w:after="20"/>
            </w:pPr>
            <w:r>
              <w:rPr>
                <w:sz w:val="16"/>
              </w:rPr>
              <w:t>Durable queues/topics, retries, dead-letter handling, and decoupling of ingestion, Agent work, validation, and notifications.</w:t>
            </w:r>
          </w:p>
        </w:tc>
        <w:tc>
          <w:tcPr>
            <w:tcW w:type="dxa" w:w="2556"/>
            <w:shd w:fill="F4F7FA"/>
          </w:tcPr>
          <w:p>
            <w:pPr>
              <w:spacing w:after="20"/>
            </w:pPr>
            <w:r>
              <w:rPr>
                <w:sz w:val="16"/>
              </w:rPr>
              <w:t>Required when throughput/reliability needs exceed synchronous flow calls.</w:t>
            </w:r>
          </w:p>
        </w:tc>
      </w:tr>
      <w:tr>
        <w:tc>
          <w:tcPr>
            <w:tcW w:type="dxa" w:w="2556"/>
          </w:tcPr>
          <w:p>
            <w:pPr>
              <w:spacing w:after="20"/>
            </w:pPr>
            <w:r>
              <w:rPr>
                <w:sz w:val="16"/>
              </w:rPr>
              <w:t>Documents and evidence</w:t>
            </w:r>
          </w:p>
        </w:tc>
        <w:tc>
          <w:tcPr>
            <w:tcW w:type="dxa" w:w="2556"/>
          </w:tcPr>
          <w:p>
            <w:pPr>
              <w:spacing w:after="20"/>
            </w:pPr>
            <w:r>
              <w:rPr>
                <w:sz w:val="16"/>
              </w:rPr>
              <w:t>SharePoint Online document library or Azure Blob Storage with immutable retention where approved</w:t>
            </w:r>
          </w:p>
        </w:tc>
        <w:tc>
          <w:tcPr>
            <w:tcW w:type="dxa" w:w="2556"/>
          </w:tcPr>
          <w:p>
            <w:pPr>
              <w:spacing w:after="20"/>
            </w:pPr>
            <w:r>
              <w:rPr>
                <w:sz w:val="16"/>
              </w:rPr>
              <w:t>Stores original files and generated evidence separately from structured Dataverse case data.</w:t>
            </w:r>
          </w:p>
        </w:tc>
        <w:tc>
          <w:tcPr>
            <w:tcW w:type="dxa" w:w="2556"/>
          </w:tcPr>
          <w:p>
            <w:pPr>
              <w:spacing w:after="20"/>
            </w:pPr>
            <w:r>
              <w:rPr>
                <w:sz w:val="16"/>
              </w:rPr>
              <w:t>Retention, legal hold, malware scanning, sensitivity labels, and access logging require formal design.</w:t>
            </w:r>
          </w:p>
        </w:tc>
      </w:tr>
      <w:tr>
        <w:tc>
          <w:tcPr>
            <w:tcW w:type="dxa" w:w="2556"/>
            <w:shd w:fill="F4F7FA"/>
          </w:tcPr>
          <w:p>
            <w:pPr>
              <w:spacing w:after="20"/>
            </w:pPr>
            <w:r>
              <w:rPr>
                <w:sz w:val="16"/>
              </w:rPr>
              <w:t>Secrets and keys</w:t>
            </w:r>
          </w:p>
        </w:tc>
        <w:tc>
          <w:tcPr>
            <w:tcW w:type="dxa" w:w="2556"/>
            <w:shd w:fill="F4F7FA"/>
          </w:tcPr>
          <w:p>
            <w:pPr>
              <w:spacing w:after="20"/>
            </w:pPr>
            <w:r>
              <w:rPr>
                <w:sz w:val="16"/>
              </w:rPr>
              <w:t>Azure Key Vault plus managed identities/service principals</w:t>
            </w:r>
          </w:p>
        </w:tc>
        <w:tc>
          <w:tcPr>
            <w:tcW w:type="dxa" w:w="2556"/>
            <w:shd w:fill="F4F7FA"/>
          </w:tcPr>
          <w:p>
            <w:pPr>
              <w:spacing w:after="20"/>
            </w:pPr>
            <w:r>
              <w:rPr>
                <w:sz w:val="16"/>
              </w:rPr>
              <w:t>Centralized secret handling and reduced embedded credentials.</w:t>
            </w:r>
          </w:p>
        </w:tc>
        <w:tc>
          <w:tcPr>
            <w:tcW w:type="dxa" w:w="2556"/>
            <w:shd w:fill="F4F7FA"/>
          </w:tcPr>
          <w:p>
            <w:pPr>
              <w:spacing w:after="20"/>
            </w:pPr>
            <w:r>
              <w:rPr>
                <w:sz w:val="16"/>
              </w:rPr>
              <w:t>No secrets inside prompts, flows, source code, environment variables visible to makers, or files.</w:t>
            </w:r>
          </w:p>
        </w:tc>
      </w:tr>
      <w:tr>
        <w:tc>
          <w:tcPr>
            <w:tcW w:type="dxa" w:w="2556"/>
          </w:tcPr>
          <w:p>
            <w:pPr>
              <w:spacing w:after="20"/>
            </w:pPr>
            <w:r>
              <w:rPr>
                <w:sz w:val="16"/>
              </w:rPr>
              <w:t>Enterprise reporting</w:t>
            </w:r>
          </w:p>
        </w:tc>
        <w:tc>
          <w:tcPr>
            <w:tcW w:type="dxa" w:w="2556"/>
          </w:tcPr>
          <w:p>
            <w:pPr>
              <w:spacing w:after="20"/>
            </w:pPr>
            <w:r>
              <w:rPr>
                <w:sz w:val="16"/>
              </w:rPr>
              <w:t>Power BI semantic model and dashboards</w:t>
            </w:r>
          </w:p>
        </w:tc>
        <w:tc>
          <w:tcPr>
            <w:tcW w:type="dxa" w:w="2556"/>
          </w:tcPr>
          <w:p>
            <w:pPr>
              <w:spacing w:after="20"/>
            </w:pPr>
            <w:r>
              <w:rPr>
                <w:sz w:val="16"/>
              </w:rPr>
              <w:t>Case volumes, aging, risk distribution, overrides, Agent quality, token/cost trends, and control performance.</w:t>
            </w:r>
          </w:p>
        </w:tc>
        <w:tc>
          <w:tcPr>
            <w:tcW w:type="dxa" w:w="2556"/>
          </w:tcPr>
          <w:p>
            <w:pPr>
              <w:spacing w:after="20"/>
            </w:pPr>
            <w:r>
              <w:rPr>
                <w:sz w:val="16"/>
              </w:rPr>
              <w:t>Apply row-level security and avoid duplicating sensitive narrative into broad-reporting datasets.</w:t>
            </w:r>
          </w:p>
        </w:tc>
      </w:tr>
      <w:tr>
        <w:tc>
          <w:tcPr>
            <w:tcW w:type="dxa" w:w="2556"/>
            <w:shd w:fill="F4F7FA"/>
          </w:tcPr>
          <w:p>
            <w:pPr>
              <w:spacing w:after="20"/>
            </w:pPr>
            <w:r>
              <w:rPr>
                <w:sz w:val="16"/>
              </w:rPr>
              <w:t>Operational telemetry</w:t>
            </w:r>
          </w:p>
        </w:tc>
        <w:tc>
          <w:tcPr>
            <w:tcW w:type="dxa" w:w="2556"/>
            <w:shd w:fill="F4F7FA"/>
          </w:tcPr>
          <w:p>
            <w:pPr>
              <w:spacing w:after="20"/>
            </w:pPr>
            <w:r>
              <w:rPr>
                <w:sz w:val="16"/>
              </w:rPr>
              <w:t>Application Insights, Azure Monitor, Log Analytics, Power Platform admin analytics, Copilot Studio Monitor</w:t>
            </w:r>
          </w:p>
        </w:tc>
        <w:tc>
          <w:tcPr>
            <w:tcW w:type="dxa" w:w="2556"/>
            <w:shd w:fill="F4F7FA"/>
          </w:tcPr>
          <w:p>
            <w:pPr>
              <w:spacing w:after="20"/>
            </w:pPr>
            <w:r>
              <w:rPr>
                <w:sz w:val="16"/>
              </w:rPr>
              <w:t>End-to-end technical and Agent observability.</w:t>
            </w:r>
          </w:p>
        </w:tc>
        <w:tc>
          <w:tcPr>
            <w:tcW w:type="dxa" w:w="2556"/>
            <w:shd w:fill="F4F7FA"/>
          </w:tcPr>
          <w:p>
            <w:pPr>
              <w:spacing w:after="20"/>
            </w:pPr>
            <w:r>
              <w:rPr>
                <w:sz w:val="16"/>
              </w:rPr>
              <w:t>Correlate everything using Case ID, Run ID, Correlation ID, component version, and environment.</w:t>
            </w:r>
          </w:p>
        </w:tc>
      </w:tr>
      <w:tr>
        <w:tc>
          <w:tcPr>
            <w:tcW w:type="dxa" w:w="2556"/>
          </w:tcPr>
          <w:p>
            <w:pPr>
              <w:spacing w:after="20"/>
            </w:pPr>
            <w:r>
              <w:rPr>
                <w:sz w:val="16"/>
              </w:rPr>
              <w:t>ALM and release</w:t>
            </w:r>
          </w:p>
        </w:tc>
        <w:tc>
          <w:tcPr>
            <w:tcW w:type="dxa" w:w="2556"/>
          </w:tcPr>
          <w:p>
            <w:pPr>
              <w:spacing w:after="20"/>
            </w:pPr>
            <w:r>
              <w:rPr>
                <w:sz w:val="16"/>
              </w:rPr>
              <w:t>Managed Power Platform solutions, Power Platform Pipelines or Azure DevOps/GitHub Actions, solution checker, automated tests</w:t>
            </w:r>
          </w:p>
        </w:tc>
        <w:tc>
          <w:tcPr>
            <w:tcW w:type="dxa" w:w="2556"/>
          </w:tcPr>
          <w:p>
            <w:pPr>
              <w:spacing w:after="20"/>
            </w:pPr>
            <w:r>
              <w:rPr>
                <w:sz w:val="16"/>
              </w:rPr>
              <w:t>Environment promotion, repeatability, approvals, rollback packages, and traceable releases.</w:t>
            </w:r>
          </w:p>
        </w:tc>
        <w:tc>
          <w:tcPr>
            <w:tcW w:type="dxa" w:w="2556"/>
          </w:tcPr>
          <w:p>
            <w:pPr>
              <w:spacing w:after="20"/>
            </w:pPr>
            <w:r>
              <w:rPr>
                <w:sz w:val="16"/>
              </w:rPr>
              <w:t>No direct unmanaged changes in production.</w:t>
            </w:r>
          </w:p>
        </w:tc>
      </w:tr>
    </w:tbl>
    <w:p/>
    <w:p>
      <w:pPr>
        <w:pStyle w:val="Heading1"/>
      </w:pPr>
      <w:r>
        <w:t>3. Theoretical production architecture</w:t>
      </w:r>
    </w:p>
    <w:p>
      <w:r>
        <w:t>The target architecture uses Dataverse as the case system of record, Power Apps as the human workbench, Power Automate for human workflow, Copilot Studio for bounded semantic and narrative work, and Azure-hosted deterministic services for validation and scoring.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Layer</w:t>
            </w:r>
          </w:p>
        </w:tc>
        <w:tc>
          <w:tcPr>
            <w:tcW w:type="dxa" w:w="2556"/>
            <w:shd w:fill="173F5F"/>
          </w:tcPr>
          <w:p>
            <w:r>
              <w:rPr>
                <w:b/>
                <w:color w:val="FFFFFF"/>
                <w:sz w:val="16"/>
              </w:rPr>
              <w:t>Components</w:t>
            </w:r>
          </w:p>
        </w:tc>
        <w:tc>
          <w:tcPr>
            <w:tcW w:type="dxa" w:w="2556"/>
            <w:shd w:fill="173F5F"/>
          </w:tcPr>
          <w:p>
            <w:r>
              <w:rPr>
                <w:b/>
                <w:color w:val="FFFFFF"/>
                <w:sz w:val="16"/>
              </w:rPr>
              <w:t>Responsibilities</w:t>
            </w:r>
          </w:p>
        </w:tc>
        <w:tc>
          <w:tcPr>
            <w:tcW w:type="dxa" w:w="2556"/>
            <w:shd w:fill="173F5F"/>
          </w:tcPr>
          <w:p>
            <w:r>
              <w:rPr>
                <w:b/>
                <w:color w:val="FFFFFF"/>
                <w:sz w:val="16"/>
              </w:rPr>
              <w:t>Trust boundary</w:t>
            </w:r>
          </w:p>
        </w:tc>
      </w:tr>
      <w:tr>
        <w:tc>
          <w:tcPr>
            <w:tcW w:type="dxa" w:w="2556"/>
          </w:tcPr>
          <w:p>
            <w:pPr>
              <w:spacing w:after="20"/>
            </w:pPr>
            <w:r>
              <w:rPr>
                <w:sz w:val="16"/>
              </w:rPr>
              <w:t>Experience</w:t>
            </w:r>
          </w:p>
        </w:tc>
        <w:tc>
          <w:tcPr>
            <w:tcW w:type="dxa" w:w="2556"/>
          </w:tcPr>
          <w:p>
            <w:pPr>
              <w:spacing w:after="20"/>
            </w:pPr>
            <w:r>
              <w:rPr>
                <w:sz w:val="16"/>
              </w:rPr>
              <w:t>Power Apps model-driven app; optional Teams entry point</w:t>
            </w:r>
          </w:p>
        </w:tc>
        <w:tc>
          <w:tcPr>
            <w:tcW w:type="dxa" w:w="2556"/>
          </w:tcPr>
          <w:p>
            <w:pPr>
              <w:spacing w:after="20"/>
            </w:pPr>
            <w:r>
              <w:rPr>
                <w:sz w:val="16"/>
              </w:rPr>
              <w:t>Create case, upload/reference intake, show evidence, collect Gate decisions, present score and committee packet.</w:t>
            </w:r>
          </w:p>
        </w:tc>
        <w:tc>
          <w:tcPr>
            <w:tcW w:type="dxa" w:w="2556"/>
          </w:tcPr>
          <w:p>
            <w:pPr>
              <w:spacing w:after="20"/>
            </w:pPr>
            <w:r>
              <w:rPr>
                <w:sz w:val="16"/>
              </w:rPr>
              <w:t>Authenticated users; role-based and row-level access.</w:t>
            </w:r>
          </w:p>
        </w:tc>
      </w:tr>
      <w:tr>
        <w:tc>
          <w:tcPr>
            <w:tcW w:type="dxa" w:w="2556"/>
            <w:shd w:fill="F4F7FA"/>
          </w:tcPr>
          <w:p>
            <w:pPr>
              <w:spacing w:after="20"/>
            </w:pPr>
            <w:r>
              <w:rPr>
                <w:sz w:val="16"/>
              </w:rPr>
              <w:t>Workflow</w:t>
            </w:r>
          </w:p>
        </w:tc>
        <w:tc>
          <w:tcPr>
            <w:tcW w:type="dxa" w:w="2556"/>
            <w:shd w:fill="F4F7FA"/>
          </w:tcPr>
          <w:p>
            <w:pPr>
              <w:spacing w:after="20"/>
            </w:pPr>
            <w:r>
              <w:rPr>
                <w:sz w:val="16"/>
              </w:rPr>
              <w:t>Power Automate; optional Service Bus / Logic Apps</w:t>
            </w:r>
          </w:p>
        </w:tc>
        <w:tc>
          <w:tcPr>
            <w:tcW w:type="dxa" w:w="2556"/>
            <w:shd w:fill="F4F7FA"/>
          </w:tcPr>
          <w:p>
            <w:pPr>
              <w:spacing w:after="20"/>
            </w:pPr>
            <w:r>
              <w:rPr>
                <w:sz w:val="16"/>
              </w:rPr>
              <w:t>Start runs, dispatch tasks, wait for human decisions, enforce timers, retry transient failures, escalate overdue items.</w:t>
            </w:r>
          </w:p>
        </w:tc>
        <w:tc>
          <w:tcPr>
            <w:tcW w:type="dxa" w:w="2556"/>
            <w:shd w:fill="F4F7FA"/>
          </w:tcPr>
          <w:p>
            <w:pPr>
              <w:spacing w:after="20"/>
            </w:pPr>
            <w:r>
              <w:rPr>
                <w:sz w:val="16"/>
              </w:rPr>
              <w:t>Flows cannot calculate official risk or silently resolve evidence.</w:t>
            </w:r>
          </w:p>
        </w:tc>
      </w:tr>
      <w:tr>
        <w:tc>
          <w:tcPr>
            <w:tcW w:type="dxa" w:w="2556"/>
          </w:tcPr>
          <w:p>
            <w:pPr>
              <w:spacing w:after="20"/>
            </w:pPr>
            <w:r>
              <w:rPr>
                <w:sz w:val="16"/>
              </w:rPr>
              <w:t>Agent</w:t>
            </w:r>
          </w:p>
        </w:tc>
        <w:tc>
          <w:tcPr>
            <w:tcW w:type="dxa" w:w="2556"/>
          </w:tcPr>
          <w:p>
            <w:pPr>
              <w:spacing w:after="20"/>
            </w:pPr>
            <w:r>
              <w:rPr>
                <w:sz w:val="16"/>
              </w:rPr>
              <w:t>Copilot Studio Intake Agent and Memo Agent</w:t>
            </w:r>
          </w:p>
        </w:tc>
        <w:tc>
          <w:tcPr>
            <w:tcW w:type="dxa" w:w="2556"/>
          </w:tcPr>
          <w:p>
            <w:pPr>
              <w:spacing w:after="20"/>
            </w:pPr>
            <w:r>
              <w:rPr>
                <w:sz w:val="16"/>
              </w:rPr>
              <w:t>Extract/normalize candidate facts, classify evidence state, identify contradictions, draft review and memo content.</w:t>
            </w:r>
          </w:p>
        </w:tc>
        <w:tc>
          <w:tcPr>
            <w:tcW w:type="dxa" w:w="2556"/>
          </w:tcPr>
          <w:p>
            <w:pPr>
              <w:spacing w:after="20"/>
            </w:pPr>
            <w:r>
              <w:rPr>
                <w:sz w:val="16"/>
              </w:rPr>
              <w:t>Output is provisional until deterministic and human checks pass.</w:t>
            </w:r>
          </w:p>
        </w:tc>
      </w:tr>
      <w:tr>
        <w:tc>
          <w:tcPr>
            <w:tcW w:type="dxa" w:w="2556"/>
            <w:shd w:fill="F4F7FA"/>
          </w:tcPr>
          <w:p>
            <w:pPr>
              <w:spacing w:after="20"/>
            </w:pPr>
            <w:r>
              <w:rPr>
                <w:sz w:val="16"/>
              </w:rPr>
              <w:t>Deterministic services</w:t>
            </w:r>
          </w:p>
        </w:tc>
        <w:tc>
          <w:tcPr>
            <w:tcW w:type="dxa" w:w="2556"/>
            <w:shd w:fill="F4F7FA"/>
          </w:tcPr>
          <w:p>
            <w:pPr>
              <w:spacing w:after="20"/>
            </w:pPr>
            <w:r>
              <w:rPr>
                <w:sz w:val="16"/>
              </w:rPr>
              <w:t>Validator API, Resolver API, Admission API, Mapping API, Scoring API, Closure API</w:t>
            </w:r>
          </w:p>
        </w:tc>
        <w:tc>
          <w:tcPr>
            <w:tcW w:type="dxa" w:w="2556"/>
            <w:shd w:fill="F4F7FA"/>
          </w:tcPr>
          <w:p>
            <w:pPr>
              <w:spacing w:after="20"/>
            </w:pPr>
            <w:r>
              <w:rPr>
                <w:sz w:val="16"/>
              </w:rPr>
              <w:t>Schema validation, source resolution, decision application, authorization, versioned calculation, evidence packaging.</w:t>
            </w:r>
          </w:p>
        </w:tc>
        <w:tc>
          <w:tcPr>
            <w:tcW w:type="dxa" w:w="2556"/>
            <w:shd w:fill="F4F7FA"/>
          </w:tcPr>
          <w:p>
            <w:pPr>
              <w:spacing w:after="20"/>
            </w:pPr>
            <w:r>
              <w:rPr>
                <w:sz w:val="16"/>
              </w:rPr>
              <w:t>Only signed, versioned configuration; no LLM calls in official scoring.</w:t>
            </w:r>
          </w:p>
        </w:tc>
      </w:tr>
      <w:tr>
        <w:tc>
          <w:tcPr>
            <w:tcW w:type="dxa" w:w="2556"/>
          </w:tcPr>
          <w:p>
            <w:pPr>
              <w:spacing w:after="20"/>
            </w:pPr>
            <w:r>
              <w:rPr>
                <w:sz w:val="16"/>
              </w:rPr>
              <w:t>Data</w:t>
            </w:r>
          </w:p>
        </w:tc>
        <w:tc>
          <w:tcPr>
            <w:tcW w:type="dxa" w:w="2556"/>
          </w:tcPr>
          <w:p>
            <w:pPr>
              <w:spacing w:after="20"/>
            </w:pPr>
            <w:r>
              <w:rPr>
                <w:sz w:val="16"/>
              </w:rPr>
              <w:t>Dataverse; document store; configuration repository</w:t>
            </w:r>
          </w:p>
        </w:tc>
        <w:tc>
          <w:tcPr>
            <w:tcW w:type="dxa" w:w="2556"/>
          </w:tcPr>
          <w:p>
            <w:pPr>
              <w:spacing w:after="20"/>
            </w:pPr>
            <w:r>
              <w:rPr>
                <w:sz w:val="16"/>
              </w:rPr>
              <w:t>Structured cases, facts, decisions, instructions, versions, evidence, score trace, retention metadata.</w:t>
            </w:r>
          </w:p>
        </w:tc>
        <w:tc>
          <w:tcPr>
            <w:tcW w:type="dxa" w:w="2556"/>
          </w:tcPr>
          <w:p>
            <w:pPr>
              <w:spacing w:after="20"/>
            </w:pPr>
            <w:r>
              <w:rPr>
                <w:sz w:val="16"/>
              </w:rPr>
              <w:t>Separate raw, working, accepted, official, and closed states.</w:t>
            </w:r>
          </w:p>
        </w:tc>
      </w:tr>
      <w:tr>
        <w:tc>
          <w:tcPr>
            <w:tcW w:type="dxa" w:w="2556"/>
            <w:shd w:fill="F4F7FA"/>
          </w:tcPr>
          <w:p>
            <w:pPr>
              <w:spacing w:after="20"/>
            </w:pPr>
            <w:r>
              <w:rPr>
                <w:sz w:val="16"/>
              </w:rPr>
              <w:t>Integration</w:t>
            </w:r>
          </w:p>
        </w:tc>
        <w:tc>
          <w:tcPr>
            <w:tcW w:type="dxa" w:w="2556"/>
            <w:shd w:fill="F4F7FA"/>
          </w:tcPr>
          <w:p>
            <w:pPr>
              <w:spacing w:after="20"/>
            </w:pPr>
            <w:r>
              <w:rPr>
                <w:sz w:val="16"/>
              </w:rPr>
              <w:t>API Management, Functions/Container Apps, Service Bus, connectors</w:t>
            </w:r>
          </w:p>
        </w:tc>
        <w:tc>
          <w:tcPr>
            <w:tcW w:type="dxa" w:w="2556"/>
            <w:shd w:fill="F4F7FA"/>
          </w:tcPr>
          <w:p>
            <w:pPr>
              <w:spacing w:after="20"/>
            </w:pPr>
            <w:r>
              <w:rPr>
                <w:sz w:val="16"/>
              </w:rPr>
              <w:t>Secure APIs, throttling, event delivery, integration with screening/KYC/case systems.</w:t>
            </w:r>
          </w:p>
        </w:tc>
        <w:tc>
          <w:tcPr>
            <w:tcW w:type="dxa" w:w="2556"/>
            <w:shd w:fill="F4F7FA"/>
          </w:tcPr>
          <w:p>
            <w:pPr>
              <w:spacing w:after="20"/>
            </w:pPr>
            <w:r>
              <w:rPr>
                <w:sz w:val="16"/>
              </w:rPr>
              <w:t>Private endpoints and least privilege where feasible.</w:t>
            </w:r>
          </w:p>
        </w:tc>
      </w:tr>
      <w:tr>
        <w:tc>
          <w:tcPr>
            <w:tcW w:type="dxa" w:w="2556"/>
          </w:tcPr>
          <w:p>
            <w:pPr>
              <w:spacing w:after="20"/>
            </w:pPr>
            <w:r>
              <w:rPr>
                <w:sz w:val="16"/>
              </w:rPr>
              <w:t>Observability</w:t>
            </w:r>
          </w:p>
        </w:tc>
        <w:tc>
          <w:tcPr>
            <w:tcW w:type="dxa" w:w="2556"/>
          </w:tcPr>
          <w:p>
            <w:pPr>
              <w:spacing w:after="20"/>
            </w:pPr>
            <w:r>
              <w:rPr>
                <w:sz w:val="16"/>
              </w:rPr>
              <w:t>Application Insights, Log Analytics, Power BI, platform analytics</w:t>
            </w:r>
          </w:p>
        </w:tc>
        <w:tc>
          <w:tcPr>
            <w:tcW w:type="dxa" w:w="2556"/>
          </w:tcPr>
          <w:p>
            <w:pPr>
              <w:spacing w:after="20"/>
            </w:pPr>
            <w:r>
              <w:rPr>
                <w:sz w:val="16"/>
              </w:rPr>
              <w:t>Metrics, logs, traces, audits, alerts, cost, quality, support and regulatory evidence.</w:t>
            </w:r>
          </w:p>
        </w:tc>
        <w:tc>
          <w:tcPr>
            <w:tcW w:type="dxa" w:w="2556"/>
          </w:tcPr>
          <w:p>
            <w:pPr>
              <w:spacing w:after="20"/>
            </w:pPr>
            <w:r>
              <w:rPr>
                <w:sz w:val="16"/>
              </w:rPr>
              <w:t>No unrestricted prompt/transcript logging; redact classified data.</w:t>
            </w:r>
          </w:p>
        </w:tc>
      </w:tr>
    </w:tbl>
    <w:p/>
    <w:p>
      <w:pPr>
        <w:pStyle w:val="Heading1"/>
      </w:pPr>
      <w:r>
        <w:t>4. Theoretical end-to-end operational workflow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Step</w:t>
            </w:r>
          </w:p>
        </w:tc>
        <w:tc>
          <w:tcPr>
            <w:tcW w:type="dxa" w:w="2556"/>
            <w:shd w:fill="173F5F"/>
          </w:tcPr>
          <w:p>
            <w:r>
              <w:rPr>
                <w:b/>
                <w:color w:val="FFFFFF"/>
                <w:sz w:val="16"/>
              </w:rPr>
              <w:t>Action</w:t>
            </w:r>
          </w:p>
        </w:tc>
        <w:tc>
          <w:tcPr>
            <w:tcW w:type="dxa" w:w="2556"/>
            <w:shd w:fill="173F5F"/>
          </w:tcPr>
          <w:p>
            <w:r>
              <w:rPr>
                <w:b/>
                <w:color w:val="FFFFFF"/>
                <w:sz w:val="16"/>
              </w:rPr>
              <w:t>System owner</w:t>
            </w:r>
          </w:p>
        </w:tc>
        <w:tc>
          <w:tcPr>
            <w:tcW w:type="dxa" w:w="2556"/>
            <w:shd w:fill="173F5F"/>
          </w:tcPr>
          <w:p>
            <w:r>
              <w:rPr>
                <w:b/>
                <w:color w:val="FFFFFF"/>
                <w:sz w:val="16"/>
              </w:rPr>
              <w:t>Fail-closed behavior</w:t>
            </w:r>
          </w:p>
        </w:tc>
      </w:tr>
      <w:tr>
        <w:tc>
          <w:tcPr>
            <w:tcW w:type="dxa" w:w="2556"/>
          </w:tcPr>
          <w:p>
            <w:pPr>
              <w:spacing w:after="20"/>
            </w:pPr>
            <w:r>
              <w:rPr>
                <w:sz w:val="16"/>
              </w:rPr>
              <w:t>1. Case initiation</w:t>
            </w:r>
          </w:p>
        </w:tc>
        <w:tc>
          <w:tcPr>
            <w:tcW w:type="dxa" w:w="2556"/>
          </w:tcPr>
          <w:p>
            <w:pPr>
              <w:spacing w:after="20"/>
            </w:pPr>
            <w:r>
              <w:rPr>
                <w:sz w:val="16"/>
              </w:rPr>
              <w:t>Authorized user creates a case, selects change type, respondent, jurisdiction, service set, and due date.</w:t>
            </w:r>
          </w:p>
        </w:tc>
        <w:tc>
          <w:tcPr>
            <w:tcW w:type="dxa" w:w="2556"/>
          </w:tcPr>
          <w:p>
            <w:pPr>
              <w:spacing w:after="20"/>
            </w:pPr>
            <w:r>
              <w:rPr>
                <w:sz w:val="16"/>
              </w:rPr>
              <w:t>Power Apps + Dataverse</w:t>
            </w:r>
          </w:p>
        </w:tc>
        <w:tc>
          <w:tcPr>
            <w:tcW w:type="dxa" w:w="2556"/>
          </w:tcPr>
          <w:p>
            <w:pPr>
              <w:spacing w:after="20"/>
            </w:pPr>
            <w:r>
              <w:rPr>
                <w:sz w:val="16"/>
              </w:rPr>
              <w:t>Case cannot start without mandatory identity and owner fields.</w:t>
            </w:r>
          </w:p>
        </w:tc>
      </w:tr>
      <w:tr>
        <w:tc>
          <w:tcPr>
            <w:tcW w:type="dxa" w:w="2556"/>
            <w:shd w:fill="F4F7FA"/>
          </w:tcPr>
          <w:p>
            <w:pPr>
              <w:spacing w:after="20"/>
            </w:pPr>
            <w:r>
              <w:rPr>
                <w:sz w:val="16"/>
              </w:rPr>
              <w:t>2. Intake acquisition</w:t>
            </w:r>
          </w:p>
        </w:tc>
        <w:tc>
          <w:tcPr>
            <w:tcW w:type="dxa" w:w="2556"/>
            <w:shd w:fill="F4F7FA"/>
          </w:tcPr>
          <w:p>
            <w:pPr>
              <w:spacing w:after="20"/>
            </w:pPr>
            <w:r>
              <w:rPr>
                <w:sz w:val="16"/>
              </w:rPr>
              <w:t>Upload/receive CBDDQ and provider scope data; malware scan; retain original; hash and classify.</w:t>
            </w:r>
          </w:p>
        </w:tc>
        <w:tc>
          <w:tcPr>
            <w:tcW w:type="dxa" w:w="2556"/>
            <w:shd w:fill="F4F7FA"/>
          </w:tcPr>
          <w:p>
            <w:pPr>
              <w:spacing w:after="20"/>
            </w:pPr>
            <w:r>
              <w:rPr>
                <w:sz w:val="16"/>
              </w:rPr>
              <w:t>SharePoint/Blob + workflow</w:t>
            </w:r>
          </w:p>
        </w:tc>
        <w:tc>
          <w:tcPr>
            <w:tcW w:type="dxa" w:w="2556"/>
            <w:shd w:fill="F4F7FA"/>
          </w:tcPr>
          <w:p>
            <w:pPr>
              <w:spacing w:after="20"/>
            </w:pPr>
            <w:r>
              <w:rPr>
                <w:sz w:val="16"/>
              </w:rPr>
              <w:t>Quarantine unreadable, infected, unsupported, duplicate, or version-unknown files.</w:t>
            </w:r>
          </w:p>
        </w:tc>
      </w:tr>
      <w:tr>
        <w:tc>
          <w:tcPr>
            <w:tcW w:type="dxa" w:w="2556"/>
          </w:tcPr>
          <w:p>
            <w:pPr>
              <w:spacing w:after="20"/>
            </w:pPr>
            <w:r>
              <w:rPr>
                <w:sz w:val="16"/>
              </w:rPr>
              <w:t>3. Semantic extraction</w:t>
            </w:r>
          </w:p>
        </w:tc>
        <w:tc>
          <w:tcPr>
            <w:tcW w:type="dxa" w:w="2556"/>
          </w:tcPr>
          <w:p>
            <w:pPr>
              <w:spacing w:after="20"/>
            </w:pPr>
            <w:r>
              <w:rPr>
                <w:sz w:val="16"/>
              </w:rPr>
              <w:t>Intake Agent proposes facts, evidence states, contradictions, candidate indicators, and source references.</w:t>
            </w:r>
          </w:p>
        </w:tc>
        <w:tc>
          <w:tcPr>
            <w:tcW w:type="dxa" w:w="2556"/>
          </w:tcPr>
          <w:p>
            <w:pPr>
              <w:spacing w:after="20"/>
            </w:pPr>
            <w:r>
              <w:rPr>
                <w:sz w:val="16"/>
              </w:rPr>
              <w:t>Copilot Studio</w:t>
            </w:r>
          </w:p>
        </w:tc>
        <w:tc>
          <w:tcPr>
            <w:tcW w:type="dxa" w:w="2556"/>
          </w:tcPr>
          <w:p>
            <w:pPr>
              <w:spacing w:after="20"/>
            </w:pPr>
            <w:r>
              <w:rPr>
                <w:sz w:val="16"/>
              </w:rPr>
              <w:t>Agent output remains Draft; no score or approval.</w:t>
            </w:r>
          </w:p>
        </w:tc>
      </w:tr>
      <w:tr>
        <w:tc>
          <w:tcPr>
            <w:tcW w:type="dxa" w:w="2556"/>
            <w:shd w:fill="F4F7FA"/>
          </w:tcPr>
          <w:p>
            <w:pPr>
              <w:spacing w:after="20"/>
            </w:pPr>
            <w:r>
              <w:rPr>
                <w:sz w:val="16"/>
              </w:rPr>
              <w:t>4. Deterministic validation</w:t>
            </w:r>
          </w:p>
        </w:tc>
        <w:tc>
          <w:tcPr>
            <w:tcW w:type="dxa" w:w="2556"/>
            <w:shd w:fill="F4F7FA"/>
          </w:tcPr>
          <w:p>
            <w:pPr>
              <w:spacing w:after="20"/>
            </w:pPr>
            <w:r>
              <w:rPr>
                <w:sz w:val="16"/>
              </w:rPr>
              <w:t>Validator API rebuilds/validates source register, package contract, identities, versions, references, counts, and prohibited outputs.</w:t>
            </w:r>
          </w:p>
        </w:tc>
        <w:tc>
          <w:tcPr>
            <w:tcW w:type="dxa" w:w="2556"/>
            <w:shd w:fill="F4F7FA"/>
          </w:tcPr>
          <w:p>
            <w:pPr>
              <w:spacing w:after="20"/>
            </w:pPr>
            <w:r>
              <w:rPr>
                <w:sz w:val="16"/>
              </w:rPr>
              <w:t>Azure deterministic service</w:t>
            </w:r>
          </w:p>
        </w:tc>
        <w:tc>
          <w:tcPr>
            <w:tcW w:type="dxa" w:w="2556"/>
            <w:shd w:fill="F4F7FA"/>
          </w:tcPr>
          <w:p>
            <w:pPr>
              <w:spacing w:after="20"/>
            </w:pPr>
            <w:r>
              <w:rPr>
                <w:sz w:val="16"/>
              </w:rPr>
              <w:t>Any contract error blocks Gate 1.</w:t>
            </w:r>
          </w:p>
        </w:tc>
      </w:tr>
      <w:tr>
        <w:tc>
          <w:tcPr>
            <w:tcW w:type="dxa" w:w="2556"/>
          </w:tcPr>
          <w:p>
            <w:pPr>
              <w:spacing w:after="20"/>
            </w:pPr>
            <w:r>
              <w:rPr>
                <w:sz w:val="16"/>
              </w:rPr>
              <w:t>5. Gate 1 review</w:t>
            </w:r>
          </w:p>
        </w:tc>
        <w:tc>
          <w:tcPr>
            <w:tcW w:type="dxa" w:w="2556"/>
          </w:tcPr>
          <w:p>
            <w:pPr>
              <w:spacing w:after="20"/>
            </w:pPr>
            <w:r>
              <w:rPr>
                <w:sz w:val="16"/>
              </w:rPr>
              <w:t>Analyst accepts/corrects facts, resolves exclusions, records rationale, and completes four-eyes review where required.</w:t>
            </w:r>
          </w:p>
        </w:tc>
        <w:tc>
          <w:tcPr>
            <w:tcW w:type="dxa" w:w="2556"/>
          </w:tcPr>
          <w:p>
            <w:pPr>
              <w:spacing w:after="20"/>
            </w:pPr>
            <w:r>
              <w:rPr>
                <w:sz w:val="16"/>
              </w:rPr>
              <w:t>Power Apps + Dataverse</w:t>
            </w:r>
          </w:p>
        </w:tc>
        <w:tc>
          <w:tcPr>
            <w:tcW w:type="dxa" w:w="2556"/>
          </w:tcPr>
          <w:p>
            <w:pPr>
              <w:spacing w:after="20"/>
            </w:pPr>
            <w:r>
              <w:rPr>
                <w:sz w:val="16"/>
              </w:rPr>
              <w:t>Unresolved high-impact facts/exclusions block admission.</w:t>
            </w:r>
          </w:p>
        </w:tc>
      </w:tr>
      <w:tr>
        <w:tc>
          <w:tcPr>
            <w:tcW w:type="dxa" w:w="2556"/>
            <w:shd w:fill="F4F7FA"/>
          </w:tcPr>
          <w:p>
            <w:pPr>
              <w:spacing w:after="20"/>
            </w:pPr>
            <w:r>
              <w:rPr>
                <w:sz w:val="16"/>
              </w:rPr>
              <w:t>6. Admission and scoring</w:t>
            </w:r>
          </w:p>
        </w:tc>
        <w:tc>
          <w:tcPr>
            <w:tcW w:type="dxa" w:w="2556"/>
            <w:shd w:fill="F4F7FA"/>
          </w:tcPr>
          <w:p>
            <w:pPr>
              <w:spacing w:after="20"/>
            </w:pPr>
            <w:r>
              <w:rPr>
                <w:sz w:val="16"/>
              </w:rPr>
              <w:t>Admission verifies complete approved inputs; scoring service applies signed configuration and outputs immutable machine result and trace.</w:t>
            </w:r>
          </w:p>
        </w:tc>
        <w:tc>
          <w:tcPr>
            <w:tcW w:type="dxa" w:w="2556"/>
            <w:shd w:fill="F4F7FA"/>
          </w:tcPr>
          <w:p>
            <w:pPr>
              <w:spacing w:after="20"/>
            </w:pPr>
            <w:r>
              <w:rPr>
                <w:sz w:val="16"/>
              </w:rPr>
              <w:t>Azure service</w:t>
            </w:r>
          </w:p>
        </w:tc>
        <w:tc>
          <w:tcPr>
            <w:tcW w:type="dxa" w:w="2556"/>
            <w:shd w:fill="F4F7FA"/>
          </w:tcPr>
          <w:p>
            <w:pPr>
              <w:spacing w:after="20"/>
            </w:pPr>
            <w:r>
              <w:rPr>
                <w:sz w:val="16"/>
              </w:rPr>
              <w:t>No partial score; hard exclusions run first; configuration mismatch blocks.</w:t>
            </w:r>
          </w:p>
        </w:tc>
      </w:tr>
      <w:tr>
        <w:tc>
          <w:tcPr>
            <w:tcW w:type="dxa" w:w="2556"/>
          </w:tcPr>
          <w:p>
            <w:pPr>
              <w:spacing w:after="20"/>
            </w:pPr>
            <w:r>
              <w:rPr>
                <w:sz w:val="16"/>
              </w:rPr>
              <w:t>7. Gate 2 assessment</w:t>
            </w:r>
          </w:p>
        </w:tc>
        <w:tc>
          <w:tcPr>
            <w:tcW w:type="dxa" w:w="2556"/>
          </w:tcPr>
          <w:p>
            <w:pPr>
              <w:spacing w:after="20"/>
            </w:pPr>
            <w:r>
              <w:rPr>
                <w:sz w:val="16"/>
              </w:rPr>
              <w:t>Risk assessor accepts, conditions, remands, escalates, or overrides with mandatory reason and approval.</w:t>
            </w:r>
          </w:p>
        </w:tc>
        <w:tc>
          <w:tcPr>
            <w:tcW w:type="dxa" w:w="2556"/>
          </w:tcPr>
          <w:p>
            <w:pPr>
              <w:spacing w:after="20"/>
            </w:pPr>
            <w:r>
              <w:rPr>
                <w:sz w:val="16"/>
              </w:rPr>
              <w:t>Power Apps + workflow</w:t>
            </w:r>
          </w:p>
        </w:tc>
        <w:tc>
          <w:tcPr>
            <w:tcW w:type="dxa" w:w="2556"/>
          </w:tcPr>
          <w:p>
            <w:pPr>
              <w:spacing w:after="20"/>
            </w:pPr>
            <w:r>
              <w:rPr>
                <w:sz w:val="16"/>
              </w:rPr>
              <w:t>Original machine result remains visible and immutable.</w:t>
            </w:r>
          </w:p>
        </w:tc>
      </w:tr>
      <w:tr>
        <w:tc>
          <w:tcPr>
            <w:tcW w:type="dxa" w:w="2556"/>
            <w:shd w:fill="F4F7FA"/>
          </w:tcPr>
          <w:p>
            <w:pPr>
              <w:spacing w:after="20"/>
            </w:pPr>
            <w:r>
              <w:rPr>
                <w:sz w:val="16"/>
              </w:rPr>
              <w:t>8. Memo preparation</w:t>
            </w:r>
          </w:p>
        </w:tc>
        <w:tc>
          <w:tcPr>
            <w:tcW w:type="dxa" w:w="2556"/>
            <w:shd w:fill="F4F7FA"/>
          </w:tcPr>
          <w:p>
            <w:pPr>
              <w:spacing w:after="20"/>
            </w:pPr>
            <w:r>
              <w:rPr>
                <w:sz w:val="16"/>
              </w:rPr>
              <w:t>Memo Agent drafts exact-copy result explanation, conditions, limitations, and traceable committee memo.</w:t>
            </w:r>
          </w:p>
        </w:tc>
        <w:tc>
          <w:tcPr>
            <w:tcW w:type="dxa" w:w="2556"/>
            <w:shd w:fill="F4F7FA"/>
          </w:tcPr>
          <w:p>
            <w:pPr>
              <w:spacing w:after="20"/>
            </w:pPr>
            <w:r>
              <w:rPr>
                <w:sz w:val="16"/>
              </w:rPr>
              <w:t>Copilot Studio</w:t>
            </w:r>
          </w:p>
        </w:tc>
        <w:tc>
          <w:tcPr>
            <w:tcW w:type="dxa" w:w="2556"/>
            <w:shd w:fill="F4F7FA"/>
          </w:tcPr>
          <w:p>
            <w:pPr>
              <w:spacing w:after="20"/>
            </w:pPr>
            <w:r>
              <w:rPr>
                <w:sz w:val="16"/>
              </w:rPr>
              <w:t>Memo cannot recalculate or populate the decision.</w:t>
            </w:r>
          </w:p>
        </w:tc>
      </w:tr>
      <w:tr>
        <w:tc>
          <w:tcPr>
            <w:tcW w:type="dxa" w:w="2556"/>
          </w:tcPr>
          <w:p>
            <w:pPr>
              <w:spacing w:after="20"/>
            </w:pPr>
            <w:r>
              <w:rPr>
                <w:sz w:val="16"/>
              </w:rPr>
              <w:t>9. Gate 3 decision</w:t>
            </w:r>
          </w:p>
        </w:tc>
        <w:tc>
          <w:tcPr>
            <w:tcW w:type="dxa" w:w="2556"/>
          </w:tcPr>
          <w:p>
            <w:pPr>
              <w:spacing w:after="20"/>
            </w:pPr>
            <w:r>
              <w:rPr>
                <w:sz w:val="16"/>
              </w:rPr>
              <w:t>Authorized committee members record approve/conditional/remand/reject/exception; quorum and conflicts checked.</w:t>
            </w:r>
          </w:p>
        </w:tc>
        <w:tc>
          <w:tcPr>
            <w:tcW w:type="dxa" w:w="2556"/>
          </w:tcPr>
          <w:p>
            <w:pPr>
              <w:spacing w:after="20"/>
            </w:pPr>
            <w:r>
              <w:rPr>
                <w:sz w:val="16"/>
              </w:rPr>
              <w:t>Power Apps + Dataverse</w:t>
            </w:r>
          </w:p>
        </w:tc>
        <w:tc>
          <w:tcPr>
            <w:tcW w:type="dxa" w:w="2556"/>
          </w:tcPr>
          <w:p>
            <w:pPr>
              <w:spacing w:after="20"/>
            </w:pPr>
            <w:r>
              <w:rPr>
                <w:sz w:val="16"/>
              </w:rPr>
              <w:t>No decision without required membership, rationale, and conditions.</w:t>
            </w:r>
          </w:p>
        </w:tc>
      </w:tr>
      <w:tr>
        <w:tc>
          <w:tcPr>
            <w:tcW w:type="dxa" w:w="2556"/>
            <w:shd w:fill="F4F7FA"/>
          </w:tcPr>
          <w:p>
            <w:pPr>
              <w:spacing w:after="20"/>
            </w:pPr>
            <w:r>
              <w:rPr>
                <w:sz w:val="16"/>
              </w:rPr>
              <w:t>10. Closure and downstream actions</w:t>
            </w:r>
          </w:p>
        </w:tc>
        <w:tc>
          <w:tcPr>
            <w:tcW w:type="dxa" w:w="2556"/>
            <w:shd w:fill="F4F7FA"/>
          </w:tcPr>
          <w:p>
            <w:pPr>
              <w:spacing w:after="20"/>
            </w:pPr>
            <w:r>
              <w:rPr>
                <w:sz w:val="16"/>
              </w:rPr>
              <w:t>Create signed evidence package, trigger onboarding restrictions/tasks, schedule review, and retain artifacts.</w:t>
            </w:r>
          </w:p>
        </w:tc>
        <w:tc>
          <w:tcPr>
            <w:tcW w:type="dxa" w:w="2556"/>
            <w:shd w:fill="F4F7FA"/>
          </w:tcPr>
          <w:p>
            <w:pPr>
              <w:spacing w:after="20"/>
            </w:pPr>
            <w:r>
              <w:rPr>
                <w:sz w:val="16"/>
              </w:rPr>
              <w:t>Workflow + Closure API</w:t>
            </w:r>
          </w:p>
        </w:tc>
        <w:tc>
          <w:tcPr>
            <w:tcW w:type="dxa" w:w="2556"/>
            <w:shd w:fill="F4F7FA"/>
          </w:tcPr>
          <w:p>
            <w:pPr>
              <w:spacing w:after="20"/>
            </w:pPr>
            <w:r>
              <w:rPr>
                <w:sz w:val="16"/>
              </w:rPr>
              <w:t>Failed downstream tasks remain open and alert Operations; case not marked Closed.</w:t>
            </w:r>
          </w:p>
        </w:tc>
      </w:tr>
    </w:tbl>
    <w:p/>
    <w:p>
      <w:pPr>
        <w:pStyle w:val="Heading1"/>
      </w:pPr>
      <w:r>
        <w:t>5. Data model and state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Dataverse table / entity</w:t>
            </w:r>
          </w:p>
        </w:tc>
        <w:tc>
          <w:tcPr>
            <w:tcW w:type="dxa" w:w="3408"/>
            <w:shd w:fill="173F5F"/>
          </w:tcPr>
          <w:p>
            <w:r>
              <w:rPr>
                <w:b/>
                <w:color w:val="FFFFFF"/>
                <w:sz w:val="16"/>
              </w:rPr>
              <w:t>Purpose</w:t>
            </w:r>
          </w:p>
        </w:tc>
        <w:tc>
          <w:tcPr>
            <w:tcW w:type="dxa" w:w="3408"/>
            <w:shd w:fill="173F5F"/>
          </w:tcPr>
          <w:p>
            <w:r>
              <w:rPr>
                <w:b/>
                <w:color w:val="FFFFFF"/>
                <w:sz w:val="16"/>
              </w:rPr>
              <w:t>Critical fields</w:t>
            </w:r>
          </w:p>
        </w:tc>
      </w:tr>
      <w:tr>
        <w:tc>
          <w:tcPr>
            <w:tcW w:type="dxa" w:w="3408"/>
          </w:tcPr>
          <w:p>
            <w:pPr>
              <w:spacing w:after="20"/>
            </w:pPr>
            <w:r>
              <w:rPr>
                <w:sz w:val="16"/>
              </w:rPr>
              <w:t>Case</w:t>
            </w:r>
          </w:p>
        </w:tc>
        <w:tc>
          <w:tcPr>
            <w:tcW w:type="dxa" w:w="3408"/>
          </w:tcPr>
          <w:p>
            <w:pPr>
              <w:spacing w:after="20"/>
            </w:pPr>
            <w:r>
              <w:rPr>
                <w:sz w:val="16"/>
              </w:rPr>
              <w:t>Relationship assessment header</w:t>
            </w:r>
          </w:p>
        </w:tc>
        <w:tc>
          <w:tcPr>
            <w:tcW w:type="dxa" w:w="3408"/>
          </w:tcPr>
          <w:p>
            <w:pPr>
              <w:spacing w:after="20"/>
            </w:pPr>
            <w:r>
              <w:rPr>
                <w:sz w:val="16"/>
              </w:rPr>
              <w:t>Case ID, respondent, owner, change type, status, jurisdiction, sensitivity, retention class.</w:t>
            </w:r>
          </w:p>
        </w:tc>
      </w:tr>
      <w:tr>
        <w:tc>
          <w:tcPr>
            <w:tcW w:type="dxa" w:w="3408"/>
            <w:shd w:fill="F4F7FA"/>
          </w:tcPr>
          <w:p>
            <w:pPr>
              <w:spacing w:after="20"/>
            </w:pPr>
            <w:r>
              <w:rPr>
                <w:sz w:val="16"/>
              </w:rPr>
              <w:t>Run</w:t>
            </w:r>
          </w:p>
        </w:tc>
        <w:tc>
          <w:tcPr>
            <w:tcW w:type="dxa" w:w="3408"/>
            <w:shd w:fill="F4F7FA"/>
          </w:tcPr>
          <w:p>
            <w:pPr>
              <w:spacing w:after="20"/>
            </w:pPr>
            <w:r>
              <w:rPr>
                <w:sz w:val="16"/>
              </w:rPr>
              <w:t>Each assessment execution</w:t>
            </w:r>
          </w:p>
        </w:tc>
        <w:tc>
          <w:tcPr>
            <w:tcW w:type="dxa" w:w="3408"/>
            <w:shd w:fill="F4F7FA"/>
          </w:tcPr>
          <w:p>
            <w:pPr>
              <w:spacing w:after="20"/>
            </w:pPr>
            <w:r>
              <w:rPr>
                <w:sz w:val="16"/>
              </w:rPr>
              <w:t>Run ID, configuration set, Agent versions, validation version, score version, timestamps, correlation ID.</w:t>
            </w:r>
          </w:p>
        </w:tc>
      </w:tr>
      <w:tr>
        <w:tc>
          <w:tcPr>
            <w:tcW w:type="dxa" w:w="3408"/>
          </w:tcPr>
          <w:p>
            <w:pPr>
              <w:spacing w:after="20"/>
            </w:pPr>
            <w:r>
              <w:rPr>
                <w:sz w:val="16"/>
              </w:rPr>
              <w:t>Source Document / Source Field</w:t>
            </w:r>
          </w:p>
        </w:tc>
        <w:tc>
          <w:tcPr>
            <w:tcW w:type="dxa" w:w="3408"/>
          </w:tcPr>
          <w:p>
            <w:pPr>
              <w:spacing w:after="20"/>
            </w:pPr>
            <w:r>
              <w:rPr>
                <w:sz w:val="16"/>
              </w:rPr>
              <w:t>Original evidence and canonical references</w:t>
            </w:r>
          </w:p>
        </w:tc>
        <w:tc>
          <w:tcPr>
            <w:tcW w:type="dxa" w:w="3408"/>
          </w:tcPr>
          <w:p>
            <w:pPr>
              <w:spacing w:after="20"/>
            </w:pPr>
            <w:r>
              <w:rPr>
                <w:sz w:val="16"/>
              </w:rPr>
              <w:t>Document version/hash, source ID, location, raw/normalized value, evidence state.</w:t>
            </w:r>
          </w:p>
        </w:tc>
      </w:tr>
      <w:tr>
        <w:tc>
          <w:tcPr>
            <w:tcW w:type="dxa" w:w="3408"/>
            <w:shd w:fill="F4F7FA"/>
          </w:tcPr>
          <w:p>
            <w:pPr>
              <w:spacing w:after="20"/>
            </w:pPr>
            <w:r>
              <w:rPr>
                <w:sz w:val="16"/>
              </w:rPr>
              <w:t>Candidate Fact / Indicator / Exclusion</w:t>
            </w:r>
          </w:p>
        </w:tc>
        <w:tc>
          <w:tcPr>
            <w:tcW w:type="dxa" w:w="3408"/>
            <w:shd w:fill="F4F7FA"/>
          </w:tcPr>
          <w:p>
            <w:pPr>
              <w:spacing w:after="20"/>
            </w:pPr>
            <w:r>
              <w:rPr>
                <w:sz w:val="16"/>
              </w:rPr>
              <w:t>Agent-proposed semantic outputs</w:t>
            </w:r>
          </w:p>
        </w:tc>
        <w:tc>
          <w:tcPr>
            <w:tcW w:type="dxa" w:w="3408"/>
            <w:shd w:fill="F4F7FA"/>
          </w:tcPr>
          <w:p>
            <w:pPr>
              <w:spacing w:after="20"/>
            </w:pPr>
            <w:r>
              <w:rPr>
                <w:sz w:val="16"/>
              </w:rPr>
              <w:t>Proposal, source references, confidence or evidence status, validation state.</w:t>
            </w:r>
          </w:p>
        </w:tc>
      </w:tr>
      <w:tr>
        <w:tc>
          <w:tcPr>
            <w:tcW w:type="dxa" w:w="3408"/>
          </w:tcPr>
          <w:p>
            <w:pPr>
              <w:spacing w:after="20"/>
            </w:pPr>
            <w:r>
              <w:rPr>
                <w:sz w:val="16"/>
              </w:rPr>
              <w:t>Gate Decision</w:t>
            </w:r>
          </w:p>
        </w:tc>
        <w:tc>
          <w:tcPr>
            <w:tcW w:type="dxa" w:w="3408"/>
          </w:tcPr>
          <w:p>
            <w:pPr>
              <w:spacing w:after="20"/>
            </w:pPr>
            <w:r>
              <w:rPr>
                <w:sz w:val="16"/>
              </w:rPr>
              <w:t>Human action and rationale</w:t>
            </w:r>
          </w:p>
        </w:tc>
        <w:tc>
          <w:tcPr>
            <w:tcW w:type="dxa" w:w="3408"/>
          </w:tcPr>
          <w:p>
            <w:pPr>
              <w:spacing w:after="20"/>
            </w:pPr>
            <w:r>
              <w:rPr>
                <w:sz w:val="16"/>
              </w:rPr>
              <w:t>Gate, reviewer, role, disposition, reason, timestamp, version, expiry, four-eyes approver.</w:t>
            </w:r>
          </w:p>
        </w:tc>
      </w:tr>
      <w:tr>
        <w:tc>
          <w:tcPr>
            <w:tcW w:type="dxa" w:w="3408"/>
            <w:shd w:fill="F4F7FA"/>
          </w:tcPr>
          <w:p>
            <w:pPr>
              <w:spacing w:after="20"/>
            </w:pPr>
            <w:r>
              <w:rPr>
                <w:sz w:val="16"/>
              </w:rPr>
              <w:t>Score Result / Trace</w:t>
            </w:r>
          </w:p>
        </w:tc>
        <w:tc>
          <w:tcPr>
            <w:tcW w:type="dxa" w:w="3408"/>
            <w:shd w:fill="F4F7FA"/>
          </w:tcPr>
          <w:p>
            <w:pPr>
              <w:spacing w:after="20"/>
            </w:pPr>
            <w:r>
              <w:rPr>
                <w:sz w:val="16"/>
              </w:rPr>
              <w:t>Immutable machine calculation</w:t>
            </w:r>
          </w:p>
        </w:tc>
        <w:tc>
          <w:tcPr>
            <w:tcW w:type="dxa" w:w="3408"/>
            <w:shd w:fill="F4F7FA"/>
          </w:tcPr>
          <w:p>
            <w:pPr>
              <w:spacing w:after="20"/>
            </w:pPr>
            <w:r>
              <w:rPr>
                <w:sz w:val="16"/>
              </w:rPr>
              <w:t>Factors, weights, anchors, multipliers, floor, residual, band, routing, config hash.</w:t>
            </w:r>
          </w:p>
        </w:tc>
      </w:tr>
      <w:tr>
        <w:tc>
          <w:tcPr>
            <w:tcW w:type="dxa" w:w="3408"/>
          </w:tcPr>
          <w:p>
            <w:pPr>
              <w:spacing w:after="20"/>
            </w:pPr>
            <w:r>
              <w:rPr>
                <w:sz w:val="16"/>
              </w:rPr>
              <w:t>Memo / Committee Decision</w:t>
            </w:r>
          </w:p>
        </w:tc>
        <w:tc>
          <w:tcPr>
            <w:tcW w:type="dxa" w:w="3408"/>
          </w:tcPr>
          <w:p>
            <w:pPr>
              <w:spacing w:after="20"/>
            </w:pPr>
            <w:r>
              <w:rPr>
                <w:sz w:val="16"/>
              </w:rPr>
              <w:t>Decision-ready narrative and final authority</w:t>
            </w:r>
          </w:p>
        </w:tc>
        <w:tc>
          <w:tcPr>
            <w:tcW w:type="dxa" w:w="3408"/>
          </w:tcPr>
          <w:p>
            <w:pPr>
              <w:spacing w:after="20"/>
            </w:pPr>
            <w:r>
              <w:rPr>
                <w:sz w:val="16"/>
              </w:rPr>
              <w:t>Memo version, exact score reference, conditions, quorum, decision, exception approval.</w:t>
            </w:r>
          </w:p>
        </w:tc>
      </w:tr>
      <w:tr>
        <w:tc>
          <w:tcPr>
            <w:tcW w:type="dxa" w:w="3408"/>
            <w:shd w:fill="F4F7FA"/>
          </w:tcPr>
          <w:p>
            <w:pPr>
              <w:spacing w:after="20"/>
            </w:pPr>
            <w:r>
              <w:rPr>
                <w:sz w:val="16"/>
              </w:rPr>
              <w:t>Operational Event</w:t>
            </w:r>
          </w:p>
        </w:tc>
        <w:tc>
          <w:tcPr>
            <w:tcW w:type="dxa" w:w="3408"/>
            <w:shd w:fill="F4F7FA"/>
          </w:tcPr>
          <w:p>
            <w:pPr>
              <w:spacing w:after="20"/>
            </w:pPr>
            <w:r>
              <w:rPr>
                <w:sz w:val="16"/>
              </w:rPr>
              <w:t>Support and audit history</w:t>
            </w:r>
          </w:p>
        </w:tc>
        <w:tc>
          <w:tcPr>
            <w:tcW w:type="dxa" w:w="3408"/>
            <w:shd w:fill="F4F7FA"/>
          </w:tcPr>
          <w:p>
            <w:pPr>
              <w:spacing w:after="20"/>
            </w:pPr>
            <w:r>
              <w:rPr>
                <w:sz w:val="16"/>
              </w:rPr>
              <w:t>Correlation ID, event type, component, outcome, duration, retry, error class, privacy tier.</w:t>
            </w:r>
          </w:p>
        </w:tc>
      </w:tr>
    </w:tbl>
    <w:p/>
    <w:p>
      <w:pPr>
        <w:pStyle w:val="Heading1"/>
      </w:pPr>
      <w:r>
        <w:t>6. Token optimization strategy</w:t>
      </w:r>
    </w:p>
    <w:tbl>
      <w:tblPr>
        <w:tblW w:type="auto" w:w="0"/>
        <w:tblLook w:firstColumn="1" w:firstRow="1" w:lastColumn="0" w:lastRow="0" w:noHBand="0" w:noVBand="1" w:val="04A0"/>
      </w:tblPr>
      <w:tblGrid>
        <w:gridCol w:w="10224"/>
      </w:tblGrid>
      <w:tr>
        <w:tc>
          <w:tcPr>
            <w:tcW w:type="dxa" w:w="10224"/>
            <w:shd w:fill="FFF2CC"/>
          </w:tcPr>
          <w:p>
            <w:r>
              <w:rPr>
                <w:b/>
                <w:color w:val="1F7A70"/>
              </w:rPr>
              <w:t xml:space="preserve">TARGET  </w:t>
            </w:r>
            <w:r>
              <w:t>Reduce model-token processing per completed case by 40-65% from the hackathon planning range while retaining evidence quality. Establish the target during pilot using platform telemetry; do not treat this estimate as a guaranteed saving.</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Optimization</w:t>
            </w:r>
          </w:p>
        </w:tc>
        <w:tc>
          <w:tcPr>
            <w:tcW w:type="dxa" w:w="2556"/>
            <w:shd w:fill="173F5F"/>
          </w:tcPr>
          <w:p>
            <w:r>
              <w:rPr>
                <w:b/>
                <w:color w:val="FFFFFF"/>
                <w:sz w:val="16"/>
              </w:rPr>
              <w:t>Implementation</w:t>
            </w:r>
          </w:p>
        </w:tc>
        <w:tc>
          <w:tcPr>
            <w:tcW w:type="dxa" w:w="2556"/>
            <w:shd w:fill="173F5F"/>
          </w:tcPr>
          <w:p>
            <w:r>
              <w:rPr>
                <w:b/>
                <w:color w:val="FFFFFF"/>
                <w:sz w:val="16"/>
              </w:rPr>
              <w:t>Expected effect</w:t>
            </w:r>
          </w:p>
        </w:tc>
        <w:tc>
          <w:tcPr>
            <w:tcW w:type="dxa" w:w="2556"/>
            <w:shd w:fill="173F5F"/>
          </w:tcPr>
          <w:p>
            <w:r>
              <w:rPr>
                <w:b/>
                <w:color w:val="FFFFFF"/>
                <w:sz w:val="16"/>
              </w:rPr>
              <w:t>Quality guardrail</w:t>
            </w:r>
          </w:p>
        </w:tc>
      </w:tr>
      <w:tr>
        <w:tc>
          <w:tcPr>
            <w:tcW w:type="dxa" w:w="2556"/>
          </w:tcPr>
          <w:p>
            <w:pPr>
              <w:spacing w:after="20"/>
            </w:pPr>
            <w:r>
              <w:rPr>
                <w:sz w:val="16"/>
              </w:rPr>
              <w:t>Deterministic parsing first</w:t>
            </w:r>
          </w:p>
        </w:tc>
        <w:tc>
          <w:tcPr>
            <w:tcW w:type="dxa" w:w="2556"/>
          </w:tcPr>
          <w:p>
            <w:pPr>
              <w:spacing w:after="20"/>
            </w:pPr>
            <w:r>
              <w:rPr>
                <w:sz w:val="16"/>
              </w:rPr>
              <w:t>Parse stable workbook cells, IDs, headers, enumerations, versions, and blanks before any Agent call.</w:t>
            </w:r>
          </w:p>
        </w:tc>
        <w:tc>
          <w:tcPr>
            <w:tcW w:type="dxa" w:w="2556"/>
          </w:tcPr>
          <w:p>
            <w:pPr>
              <w:spacing w:after="20"/>
            </w:pPr>
            <w:r>
              <w:rPr>
                <w:sz w:val="16"/>
              </w:rPr>
              <w:t>Avoid sending structurally obvious data to a model.</w:t>
            </w:r>
          </w:p>
        </w:tc>
        <w:tc>
          <w:tcPr>
            <w:tcW w:type="dxa" w:w="2556"/>
          </w:tcPr>
          <w:p>
            <w:pPr>
              <w:spacing w:after="20"/>
            </w:pPr>
            <w:r>
              <w:rPr>
                <w:sz w:val="16"/>
              </w:rPr>
              <w:t>Semantic interpretation remains for narrative/ambiguous fields.</w:t>
            </w:r>
          </w:p>
        </w:tc>
      </w:tr>
      <w:tr>
        <w:tc>
          <w:tcPr>
            <w:tcW w:type="dxa" w:w="2556"/>
            <w:shd w:fill="F4F7FA"/>
          </w:tcPr>
          <w:p>
            <w:pPr>
              <w:spacing w:after="20"/>
            </w:pPr>
            <w:r>
              <w:rPr>
                <w:sz w:val="16"/>
              </w:rPr>
              <w:t>Compact Agent contracts</w:t>
            </w:r>
          </w:p>
        </w:tc>
        <w:tc>
          <w:tcPr>
            <w:tcW w:type="dxa" w:w="2556"/>
            <w:shd w:fill="F4F7FA"/>
          </w:tcPr>
          <w:p>
            <w:pPr>
              <w:spacing w:after="20"/>
            </w:pPr>
            <w:r>
              <w:rPr>
                <w:sz w:val="16"/>
              </w:rPr>
              <w:t>Send only material source records plus case/run metadata, not full workbooks and repeated packets.</w:t>
            </w:r>
          </w:p>
        </w:tc>
        <w:tc>
          <w:tcPr>
            <w:tcW w:type="dxa" w:w="2556"/>
            <w:shd w:fill="F4F7FA"/>
          </w:tcPr>
          <w:p>
            <w:pPr>
              <w:spacing w:after="20"/>
            </w:pPr>
            <w:r>
              <w:rPr>
                <w:sz w:val="16"/>
              </w:rPr>
              <w:t>Largest input-token reduction.</w:t>
            </w:r>
          </w:p>
        </w:tc>
        <w:tc>
          <w:tcPr>
            <w:tcW w:type="dxa" w:w="2556"/>
            <w:shd w:fill="F4F7FA"/>
          </w:tcPr>
          <w:p>
            <w:pPr>
              <w:spacing w:after="20"/>
            </w:pPr>
            <w:r>
              <w:rPr>
                <w:sz w:val="16"/>
              </w:rPr>
              <w:t>Validator confirms every Agent source reference resolves.</w:t>
            </w:r>
          </w:p>
        </w:tc>
      </w:tr>
      <w:tr>
        <w:tc>
          <w:tcPr>
            <w:tcW w:type="dxa" w:w="2556"/>
          </w:tcPr>
          <w:p>
            <w:pPr>
              <w:spacing w:after="20"/>
            </w:pPr>
            <w:r>
              <w:rPr>
                <w:sz w:val="16"/>
              </w:rPr>
              <w:t>One canonical fact store</w:t>
            </w:r>
          </w:p>
        </w:tc>
        <w:tc>
          <w:tcPr>
            <w:tcW w:type="dxa" w:w="2556"/>
          </w:tcPr>
          <w:p>
            <w:pPr>
              <w:spacing w:after="20"/>
            </w:pPr>
            <w:r>
              <w:rPr>
                <w:sz w:val="16"/>
              </w:rPr>
              <w:t>Persist normalized facts once in Dataverse; pass IDs and deltas between stages.</w:t>
            </w:r>
          </w:p>
        </w:tc>
        <w:tc>
          <w:tcPr>
            <w:tcW w:type="dxa" w:w="2556"/>
          </w:tcPr>
          <w:p>
            <w:pPr>
              <w:spacing w:after="20"/>
            </w:pPr>
            <w:r>
              <w:rPr>
                <w:sz w:val="16"/>
              </w:rPr>
              <w:t>Eliminates rereads and re-emission.</w:t>
            </w:r>
          </w:p>
        </w:tc>
        <w:tc>
          <w:tcPr>
            <w:tcW w:type="dxa" w:w="2556"/>
          </w:tcPr>
          <w:p>
            <w:pPr>
              <w:spacing w:after="20"/>
            </w:pPr>
            <w:r>
              <w:rPr>
                <w:sz w:val="16"/>
              </w:rPr>
              <w:t>Immutable source value and transformation lineage retained.</w:t>
            </w:r>
          </w:p>
        </w:tc>
      </w:tr>
      <w:tr>
        <w:tc>
          <w:tcPr>
            <w:tcW w:type="dxa" w:w="2556"/>
            <w:shd w:fill="F4F7FA"/>
          </w:tcPr>
          <w:p>
            <w:pPr>
              <w:spacing w:after="20"/>
            </w:pPr>
            <w:r>
              <w:rPr>
                <w:sz w:val="16"/>
              </w:rPr>
              <w:t>Separate semantic and deterministic assembly</w:t>
            </w:r>
          </w:p>
        </w:tc>
        <w:tc>
          <w:tcPr>
            <w:tcW w:type="dxa" w:w="2556"/>
            <w:shd w:fill="F4F7FA"/>
          </w:tcPr>
          <w:p>
            <w:pPr>
              <w:spacing w:after="20"/>
            </w:pPr>
            <w:r>
              <w:rPr>
                <w:sz w:val="16"/>
              </w:rPr>
              <w:t>Agent returns concise JSON; code builds Gate packets, memo templates, and HTML/PDF.</w:t>
            </w:r>
          </w:p>
        </w:tc>
        <w:tc>
          <w:tcPr>
            <w:tcW w:type="dxa" w:w="2556"/>
            <w:shd w:fill="F4F7FA"/>
          </w:tcPr>
          <w:p>
            <w:pPr>
              <w:spacing w:after="20"/>
            </w:pPr>
            <w:r>
              <w:rPr>
                <w:sz w:val="16"/>
              </w:rPr>
              <w:t>Cuts duplicated output tokens.</w:t>
            </w:r>
          </w:p>
        </w:tc>
        <w:tc>
          <w:tcPr>
            <w:tcW w:type="dxa" w:w="2556"/>
            <w:shd w:fill="F4F7FA"/>
          </w:tcPr>
          <w:p>
            <w:pPr>
              <w:spacing w:after="20"/>
            </w:pPr>
            <w:r>
              <w:rPr>
                <w:sz w:val="16"/>
              </w:rPr>
              <w:t>Schema validation and deterministic rendering tests.</w:t>
            </w:r>
          </w:p>
        </w:tc>
      </w:tr>
      <w:tr>
        <w:tc>
          <w:tcPr>
            <w:tcW w:type="dxa" w:w="2556"/>
          </w:tcPr>
          <w:p>
            <w:pPr>
              <w:spacing w:after="20"/>
            </w:pPr>
            <w:r>
              <w:rPr>
                <w:sz w:val="16"/>
              </w:rPr>
              <w:t>Evidence retrieval by need</w:t>
            </w:r>
          </w:p>
        </w:tc>
        <w:tc>
          <w:tcPr>
            <w:tcW w:type="dxa" w:w="2556"/>
          </w:tcPr>
          <w:p>
            <w:pPr>
              <w:spacing w:after="20"/>
            </w:pPr>
            <w:r>
              <w:rPr>
                <w:sz w:val="16"/>
              </w:rPr>
              <w:t>Retrieve only sources relevant to the selected factor/exception using metadata filters and approved indexes.</w:t>
            </w:r>
          </w:p>
        </w:tc>
        <w:tc>
          <w:tcPr>
            <w:tcW w:type="dxa" w:w="2556"/>
          </w:tcPr>
          <w:p>
            <w:pPr>
              <w:spacing w:after="20"/>
            </w:pPr>
            <w:r>
              <w:rPr>
                <w:sz w:val="16"/>
              </w:rPr>
              <w:t>Lower retrieval context and latency.</w:t>
            </w:r>
          </w:p>
        </w:tc>
        <w:tc>
          <w:tcPr>
            <w:tcW w:type="dxa" w:w="2556"/>
          </w:tcPr>
          <w:p>
            <w:pPr>
              <w:spacing w:after="20"/>
            </w:pPr>
            <w:r>
              <w:rPr>
                <w:sz w:val="16"/>
              </w:rPr>
              <w:t>Authority, version, owner, expiry, and permission filters mandatory.</w:t>
            </w:r>
          </w:p>
        </w:tc>
      </w:tr>
      <w:tr>
        <w:tc>
          <w:tcPr>
            <w:tcW w:type="dxa" w:w="2556"/>
            <w:shd w:fill="F4F7FA"/>
          </w:tcPr>
          <w:p>
            <w:pPr>
              <w:spacing w:after="20"/>
            </w:pPr>
            <w:r>
              <w:rPr>
                <w:sz w:val="16"/>
              </w:rPr>
              <w:t>Prompt minimization and versioning</w:t>
            </w:r>
          </w:p>
        </w:tc>
        <w:tc>
          <w:tcPr>
            <w:tcW w:type="dxa" w:w="2556"/>
            <w:shd w:fill="F4F7FA"/>
          </w:tcPr>
          <w:p>
            <w:pPr>
              <w:spacing w:after="20"/>
            </w:pPr>
            <w:r>
              <w:rPr>
                <w:sz w:val="16"/>
              </w:rPr>
              <w:t>Short system instructions, reusable policies referenced by version, no repeated examples unless needed.</w:t>
            </w:r>
          </w:p>
        </w:tc>
        <w:tc>
          <w:tcPr>
            <w:tcW w:type="dxa" w:w="2556"/>
            <w:shd w:fill="F4F7FA"/>
          </w:tcPr>
          <w:p>
            <w:pPr>
              <w:spacing w:after="20"/>
            </w:pPr>
            <w:r>
              <w:rPr>
                <w:sz w:val="16"/>
              </w:rPr>
              <w:t>Reduces fixed overhead.</w:t>
            </w:r>
          </w:p>
        </w:tc>
        <w:tc>
          <w:tcPr>
            <w:tcW w:type="dxa" w:w="2556"/>
            <w:shd w:fill="F4F7FA"/>
          </w:tcPr>
          <w:p>
            <w:pPr>
              <w:spacing w:after="20"/>
            </w:pPr>
            <w:r>
              <w:rPr>
                <w:sz w:val="16"/>
              </w:rPr>
              <w:t>Regression eval suite on every prompt/model change.</w:t>
            </w:r>
          </w:p>
        </w:tc>
      </w:tr>
      <w:tr>
        <w:tc>
          <w:tcPr>
            <w:tcW w:type="dxa" w:w="2556"/>
          </w:tcPr>
          <w:p>
            <w:pPr>
              <w:spacing w:after="20"/>
            </w:pPr>
            <w:r>
              <w:rPr>
                <w:sz w:val="16"/>
              </w:rPr>
              <w:t>Model routing</w:t>
            </w:r>
          </w:p>
        </w:tc>
        <w:tc>
          <w:tcPr>
            <w:tcW w:type="dxa" w:w="2556"/>
          </w:tcPr>
          <w:p>
            <w:pPr>
              <w:spacing w:after="20"/>
            </w:pPr>
            <w:r>
              <w:rPr>
                <w:sz w:val="16"/>
              </w:rPr>
              <w:t>Use smaller/cheaper approved models for classification and summarization; stronger model only for ambiguity or executive synthesis.</w:t>
            </w:r>
          </w:p>
        </w:tc>
        <w:tc>
          <w:tcPr>
            <w:tcW w:type="dxa" w:w="2556"/>
          </w:tcPr>
          <w:p>
            <w:pPr>
              <w:spacing w:after="20"/>
            </w:pPr>
            <w:r>
              <w:rPr>
                <w:sz w:val="16"/>
              </w:rPr>
              <w:t>Balances cost and quality.</w:t>
            </w:r>
          </w:p>
        </w:tc>
        <w:tc>
          <w:tcPr>
            <w:tcW w:type="dxa" w:w="2556"/>
          </w:tcPr>
          <w:p>
            <w:pPr>
              <w:spacing w:after="20"/>
            </w:pPr>
            <w:r>
              <w:rPr>
                <w:sz w:val="16"/>
              </w:rPr>
              <w:t>Escalation thresholds and side-by-side evals; no silent model change.</w:t>
            </w:r>
          </w:p>
        </w:tc>
      </w:tr>
      <w:tr>
        <w:tc>
          <w:tcPr>
            <w:tcW w:type="dxa" w:w="2556"/>
            <w:shd w:fill="F4F7FA"/>
          </w:tcPr>
          <w:p>
            <w:pPr>
              <w:spacing w:after="20"/>
            </w:pPr>
            <w:r>
              <w:rPr>
                <w:sz w:val="16"/>
              </w:rPr>
              <w:t>Cache safe, non-sensitive outputs</w:t>
            </w:r>
          </w:p>
        </w:tc>
        <w:tc>
          <w:tcPr>
            <w:tcW w:type="dxa" w:w="2556"/>
            <w:shd w:fill="F4F7FA"/>
          </w:tcPr>
          <w:p>
            <w:pPr>
              <w:spacing w:after="20"/>
            </w:pPr>
            <w:r>
              <w:rPr>
                <w:sz w:val="16"/>
              </w:rPr>
              <w:t>Cache versioned reference summaries and deterministic transformations, not user-specific decisions.</w:t>
            </w:r>
          </w:p>
        </w:tc>
        <w:tc>
          <w:tcPr>
            <w:tcW w:type="dxa" w:w="2556"/>
            <w:shd w:fill="F4F7FA"/>
          </w:tcPr>
          <w:p>
            <w:pPr>
              <w:spacing w:after="20"/>
            </w:pPr>
            <w:r>
              <w:rPr>
                <w:sz w:val="16"/>
              </w:rPr>
              <w:t>Avoids repeat processing.</w:t>
            </w:r>
          </w:p>
        </w:tc>
        <w:tc>
          <w:tcPr>
            <w:tcW w:type="dxa" w:w="2556"/>
            <w:shd w:fill="F4F7FA"/>
          </w:tcPr>
          <w:p>
            <w:pPr>
              <w:spacing w:after="20"/>
            </w:pPr>
            <w:r>
              <w:rPr>
                <w:sz w:val="16"/>
              </w:rPr>
              <w:t>Cache key includes source/version/model/prompt; privacy review required.</w:t>
            </w:r>
          </w:p>
        </w:tc>
      </w:tr>
      <w:tr>
        <w:tc>
          <w:tcPr>
            <w:tcW w:type="dxa" w:w="2556"/>
          </w:tcPr>
          <w:p>
            <w:pPr>
              <w:spacing w:after="20"/>
            </w:pPr>
            <w:r>
              <w:rPr>
                <w:sz w:val="16"/>
              </w:rPr>
              <w:t>Limit retries</w:t>
            </w:r>
          </w:p>
        </w:tc>
        <w:tc>
          <w:tcPr>
            <w:tcW w:type="dxa" w:w="2556"/>
          </w:tcPr>
          <w:p>
            <w:pPr>
              <w:spacing w:after="20"/>
            </w:pPr>
            <w:r>
              <w:rPr>
                <w:sz w:val="16"/>
              </w:rPr>
              <w:t>Typed errors, idempotency keys, bounded retries, circuit breaker, and human escalation.</w:t>
            </w:r>
          </w:p>
        </w:tc>
        <w:tc>
          <w:tcPr>
            <w:tcW w:type="dxa" w:w="2556"/>
          </w:tcPr>
          <w:p>
            <w:pPr>
              <w:spacing w:after="20"/>
            </w:pPr>
            <w:r>
              <w:rPr>
                <w:sz w:val="16"/>
              </w:rPr>
              <w:t>Prevents runaway token/cost loops.</w:t>
            </w:r>
          </w:p>
        </w:tc>
        <w:tc>
          <w:tcPr>
            <w:tcW w:type="dxa" w:w="2556"/>
          </w:tcPr>
          <w:p>
            <w:pPr>
              <w:spacing w:after="20"/>
            </w:pPr>
            <w:r>
              <w:rPr>
                <w:sz w:val="16"/>
              </w:rPr>
              <w:t>Never retry policy blocks or invalid data as transient errors.</w:t>
            </w:r>
          </w:p>
        </w:tc>
      </w:tr>
      <w:tr>
        <w:tc>
          <w:tcPr>
            <w:tcW w:type="dxa" w:w="2556"/>
            <w:shd w:fill="F4F7FA"/>
          </w:tcPr>
          <w:p>
            <w:pPr>
              <w:spacing w:after="20"/>
            </w:pPr>
            <w:r>
              <w:rPr>
                <w:sz w:val="16"/>
              </w:rPr>
              <w:t>Token and cost budgets</w:t>
            </w:r>
          </w:p>
        </w:tc>
        <w:tc>
          <w:tcPr>
            <w:tcW w:type="dxa" w:w="2556"/>
            <w:shd w:fill="F4F7FA"/>
          </w:tcPr>
          <w:p>
            <w:pPr>
              <w:spacing w:after="20"/>
            </w:pPr>
            <w:r>
              <w:rPr>
                <w:sz w:val="16"/>
              </w:rPr>
              <w:t>Per stage and case budgets with soft alerts and hard ceilings.</w:t>
            </w:r>
          </w:p>
        </w:tc>
        <w:tc>
          <w:tcPr>
            <w:tcW w:type="dxa" w:w="2556"/>
            <w:shd w:fill="F4F7FA"/>
          </w:tcPr>
          <w:p>
            <w:pPr>
              <w:spacing w:after="20"/>
            </w:pPr>
            <w:r>
              <w:rPr>
                <w:sz w:val="16"/>
              </w:rPr>
              <w:t>Makes consumption governable.</w:t>
            </w:r>
          </w:p>
        </w:tc>
        <w:tc>
          <w:tcPr>
            <w:tcW w:type="dxa" w:w="2556"/>
            <w:shd w:fill="F4F7FA"/>
          </w:tcPr>
          <w:p>
            <w:pPr>
              <w:spacing w:after="20"/>
            </w:pPr>
            <w:r>
              <w:rPr>
                <w:sz w:val="16"/>
              </w:rPr>
              <w:t>Over-budget cases route to review; they do not truncate official evidence silently.</w:t>
            </w:r>
          </w:p>
        </w:tc>
      </w:tr>
    </w:tbl>
    <w:p/>
    <w:p>
      <w:pPr>
        <w:pStyle w:val="Heading1"/>
      </w:pPr>
      <w:r>
        <w:t>7. Security, compliance, and governance gates</w:t>
      </w:r>
    </w:p>
    <w:p>
      <w:pPr>
        <w:pStyle w:val="ListBullet"/>
      </w:pPr>
      <w:r>
        <w:t>Microsoft Entra ID authentication; separate maker, service, analyst, assessor, committee, support, auditor, and admin roles.</w:t>
      </w:r>
    </w:p>
    <w:p>
      <w:pPr>
        <w:pStyle w:val="ListBullet"/>
      </w:pPr>
      <w:r>
        <w:t>Dataverse business-unit, role, row, and column security; least privilege service principals; managed identities for Azure.</w:t>
      </w:r>
    </w:p>
    <w:p>
      <w:pPr>
        <w:pStyle w:val="ListBullet"/>
      </w:pPr>
      <w:r>
        <w:t>DLP policies for connectors, environment isolation, approved regions, sensitivity labels, encryption, key ownership, and eDiscovery/legal hold review.</w:t>
      </w:r>
    </w:p>
    <w:p>
      <w:pPr>
        <w:pStyle w:val="ListBullet"/>
      </w:pPr>
      <w:r>
        <w:t>Prompt injection and untrusted-document controls: treat attachments as data, block tool instruction inheritance, allowlist actions, validate all Agent output, and scan files.</w:t>
      </w:r>
    </w:p>
    <w:p>
      <w:pPr>
        <w:pStyle w:val="ListBullet"/>
      </w:pPr>
      <w:r>
        <w:t>Model-risk governance: approved prompt/model/config versions, change owner, expected behavior, eval threshold, drift review, rollback path, and retirement date.</w:t>
      </w:r>
    </w:p>
    <w:p>
      <w:pPr>
        <w:pStyle w:val="ListBullet"/>
      </w:pPr>
      <w:r>
        <w:t>Privacy: minimize transcript retention, segregate sensitive fields, redact telemetry, define lawful basis, and perform DPIA/privacy assessment where required.</w:t>
      </w:r>
    </w:p>
    <w:p>
      <w:pPr>
        <w:pStyle w:val="Heading1"/>
      </w:pPr>
      <w:r>
        <w:t>8. Non-functional readiness targets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Area</w:t>
            </w:r>
          </w:p>
        </w:tc>
        <w:tc>
          <w:tcPr>
            <w:tcW w:type="dxa" w:w="3408"/>
            <w:shd w:fill="173F5F"/>
          </w:tcPr>
          <w:p>
            <w:r>
              <w:rPr>
                <w:b/>
                <w:color w:val="FFFFFF"/>
                <w:sz w:val="16"/>
              </w:rPr>
              <w:t>Pilot target</w:t>
            </w:r>
          </w:p>
        </w:tc>
        <w:tc>
          <w:tcPr>
            <w:tcW w:type="dxa" w:w="3408"/>
            <w:shd w:fill="173F5F"/>
          </w:tcPr>
          <w:p>
            <w:r>
              <w:rPr>
                <w:b/>
                <w:color w:val="FFFFFF"/>
                <w:sz w:val="16"/>
              </w:rPr>
              <w:t>Production decision requirement</w:t>
            </w:r>
          </w:p>
        </w:tc>
      </w:tr>
      <w:tr>
        <w:tc>
          <w:tcPr>
            <w:tcW w:type="dxa" w:w="3408"/>
          </w:tcPr>
          <w:p>
            <w:pPr>
              <w:spacing w:after="20"/>
            </w:pPr>
            <w:r>
              <w:rPr>
                <w:sz w:val="16"/>
              </w:rPr>
              <w:t>Availability</w:t>
            </w:r>
          </w:p>
        </w:tc>
        <w:tc>
          <w:tcPr>
            <w:tcW w:type="dxa" w:w="3408"/>
          </w:tcPr>
          <w:p>
            <w:pPr>
              <w:spacing w:after="20"/>
            </w:pPr>
            <w:r>
              <w:rPr>
                <w:sz w:val="16"/>
              </w:rPr>
              <w:t>Business-hours support; documented manual fallback.</w:t>
            </w:r>
          </w:p>
        </w:tc>
        <w:tc>
          <w:tcPr>
            <w:tcW w:type="dxa" w:w="3408"/>
          </w:tcPr>
          <w:p>
            <w:pPr>
              <w:spacing w:after="20"/>
            </w:pPr>
            <w:r>
              <w:rPr>
                <w:sz w:val="16"/>
              </w:rPr>
              <w:t>Approved SLO based on business criticality; recommended starting design target 99.9% monthly for case workflow excluding planned maintenance.</w:t>
            </w:r>
          </w:p>
        </w:tc>
      </w:tr>
      <w:tr>
        <w:tc>
          <w:tcPr>
            <w:tcW w:type="dxa" w:w="3408"/>
            <w:shd w:fill="F4F7FA"/>
          </w:tcPr>
          <w:p>
            <w:pPr>
              <w:spacing w:after="20"/>
            </w:pPr>
            <w:r>
              <w:rPr>
                <w:sz w:val="16"/>
              </w:rPr>
              <w:t>Performance</w:t>
            </w:r>
          </w:p>
        </w:tc>
        <w:tc>
          <w:tcPr>
            <w:tcW w:type="dxa" w:w="3408"/>
            <w:shd w:fill="F4F7FA"/>
          </w:tcPr>
          <w:p>
            <w:pPr>
              <w:spacing w:after="20"/>
            </w:pPr>
            <w:r>
              <w:rPr>
                <w:sz w:val="16"/>
              </w:rPr>
              <w:t>95th percentile non-Agent API &lt;2 seconds; Agent stages measured separately.</w:t>
            </w:r>
          </w:p>
        </w:tc>
        <w:tc>
          <w:tcPr>
            <w:tcW w:type="dxa" w:w="3408"/>
            <w:shd w:fill="F4F7FA"/>
          </w:tcPr>
          <w:p>
            <w:pPr>
              <w:spacing w:after="20"/>
            </w:pPr>
            <w:r>
              <w:rPr>
                <w:sz w:val="16"/>
              </w:rPr>
              <w:t>Load test at expected peak x2 and backlog recovery test.</w:t>
            </w:r>
          </w:p>
        </w:tc>
      </w:tr>
      <w:tr>
        <w:tc>
          <w:tcPr>
            <w:tcW w:type="dxa" w:w="3408"/>
          </w:tcPr>
          <w:p>
            <w:pPr>
              <w:spacing w:after="20"/>
            </w:pPr>
            <w:r>
              <w:rPr>
                <w:sz w:val="16"/>
              </w:rPr>
              <w:t>Recovery</w:t>
            </w:r>
          </w:p>
        </w:tc>
        <w:tc>
          <w:tcPr>
            <w:tcW w:type="dxa" w:w="3408"/>
          </w:tcPr>
          <w:p>
            <w:pPr>
              <w:spacing w:after="20"/>
            </w:pPr>
            <w:r>
              <w:rPr>
                <w:sz w:val="16"/>
              </w:rPr>
              <w:t>Environment backup and restore exercise; exported solution and config.</w:t>
            </w:r>
          </w:p>
        </w:tc>
        <w:tc>
          <w:tcPr>
            <w:tcW w:type="dxa" w:w="3408"/>
          </w:tcPr>
          <w:p>
            <w:pPr>
              <w:spacing w:after="20"/>
            </w:pPr>
            <w:r>
              <w:rPr>
                <w:sz w:val="16"/>
              </w:rPr>
              <w:t>RTO/RPO approved by business; restore test evidence.</w:t>
            </w:r>
          </w:p>
        </w:tc>
      </w:tr>
      <w:tr>
        <w:tc>
          <w:tcPr>
            <w:tcW w:type="dxa" w:w="3408"/>
            <w:shd w:fill="F4F7FA"/>
          </w:tcPr>
          <w:p>
            <w:pPr>
              <w:spacing w:after="20"/>
            </w:pPr>
            <w:r>
              <w:rPr>
                <w:sz w:val="16"/>
              </w:rPr>
              <w:t>Scalability</w:t>
            </w:r>
          </w:p>
        </w:tc>
        <w:tc>
          <w:tcPr>
            <w:tcW w:type="dxa" w:w="3408"/>
            <w:shd w:fill="F4F7FA"/>
          </w:tcPr>
          <w:p>
            <w:pPr>
              <w:spacing w:after="20"/>
            </w:pPr>
            <w:r>
              <w:rPr>
                <w:sz w:val="16"/>
              </w:rPr>
              <w:t>Synthetic concurrency test with queue depth and worker autoscale.</w:t>
            </w:r>
          </w:p>
        </w:tc>
        <w:tc>
          <w:tcPr>
            <w:tcW w:type="dxa" w:w="3408"/>
            <w:shd w:fill="F4F7FA"/>
          </w:tcPr>
          <w:p>
            <w:pPr>
              <w:spacing w:after="20"/>
            </w:pPr>
            <w:r>
              <w:rPr>
                <w:sz w:val="16"/>
              </w:rPr>
              <w:t>Expected annual case volume, burst profile, document size, and Agent quotas validated.</w:t>
            </w:r>
          </w:p>
        </w:tc>
      </w:tr>
      <w:tr>
        <w:tc>
          <w:tcPr>
            <w:tcW w:type="dxa" w:w="3408"/>
          </w:tcPr>
          <w:p>
            <w:pPr>
              <w:spacing w:after="20"/>
            </w:pPr>
            <w:r>
              <w:rPr>
                <w:sz w:val="16"/>
              </w:rPr>
              <w:t>Security</w:t>
            </w:r>
          </w:p>
        </w:tc>
        <w:tc>
          <w:tcPr>
            <w:tcW w:type="dxa" w:w="3408"/>
          </w:tcPr>
          <w:p>
            <w:pPr>
              <w:spacing w:after="20"/>
            </w:pPr>
            <w:r>
              <w:rPr>
                <w:sz w:val="16"/>
              </w:rPr>
              <w:t>Threat model, DLP, role matrix, secrets review, SAST/dependency scan, penetration test plan.</w:t>
            </w:r>
          </w:p>
        </w:tc>
        <w:tc>
          <w:tcPr>
            <w:tcW w:type="dxa" w:w="3408"/>
          </w:tcPr>
          <w:p>
            <w:pPr>
              <w:spacing w:after="20"/>
            </w:pPr>
            <w:r>
              <w:rPr>
                <w:sz w:val="16"/>
              </w:rPr>
              <w:t>No critical/high unresolved findings without formal risk acceptance.</w:t>
            </w:r>
          </w:p>
        </w:tc>
      </w:tr>
      <w:tr>
        <w:tc>
          <w:tcPr>
            <w:tcW w:type="dxa" w:w="3408"/>
            <w:shd w:fill="F4F7FA"/>
          </w:tcPr>
          <w:p>
            <w:pPr>
              <w:spacing w:after="20"/>
            </w:pPr>
            <w:r>
              <w:rPr>
                <w:sz w:val="16"/>
              </w:rPr>
              <w:t>Accessibility</w:t>
            </w:r>
          </w:p>
        </w:tc>
        <w:tc>
          <w:tcPr>
            <w:tcW w:type="dxa" w:w="3408"/>
            <w:shd w:fill="F4F7FA"/>
          </w:tcPr>
          <w:p>
            <w:pPr>
              <w:spacing w:after="20"/>
            </w:pPr>
            <w:r>
              <w:rPr>
                <w:sz w:val="16"/>
              </w:rPr>
              <w:t>Power Apps and documents reviewed against organization accessibility standard.</w:t>
            </w:r>
          </w:p>
        </w:tc>
        <w:tc>
          <w:tcPr>
            <w:tcW w:type="dxa" w:w="3408"/>
            <w:shd w:fill="F4F7FA"/>
          </w:tcPr>
          <w:p>
            <w:pPr>
              <w:spacing w:after="20"/>
            </w:pPr>
            <w:r>
              <w:rPr>
                <w:sz w:val="16"/>
              </w:rPr>
              <w:t>Critical workflows keyboard/screen-reader tested.</w:t>
            </w:r>
          </w:p>
        </w:tc>
      </w:tr>
      <w:tr>
        <w:tc>
          <w:tcPr>
            <w:tcW w:type="dxa" w:w="3408"/>
          </w:tcPr>
          <w:p>
            <w:pPr>
              <w:spacing w:after="20"/>
            </w:pPr>
            <w:r>
              <w:rPr>
                <w:sz w:val="16"/>
              </w:rPr>
              <w:t>Auditability</w:t>
            </w:r>
          </w:p>
        </w:tc>
        <w:tc>
          <w:tcPr>
            <w:tcW w:type="dxa" w:w="3408"/>
          </w:tcPr>
          <w:p>
            <w:pPr>
              <w:spacing w:after="20"/>
            </w:pPr>
            <w:r>
              <w:rPr>
                <w:sz w:val="16"/>
              </w:rPr>
              <w:t>End-to-end correlation and immutable machine result.</w:t>
            </w:r>
          </w:p>
        </w:tc>
        <w:tc>
          <w:tcPr>
            <w:tcW w:type="dxa" w:w="3408"/>
          </w:tcPr>
          <w:p>
            <w:pPr>
              <w:spacing w:after="20"/>
            </w:pPr>
            <w:r>
              <w:rPr>
                <w:sz w:val="16"/>
              </w:rPr>
              <w:t>Auditor can reconstruct a sampled case without production-maker access.</w:t>
            </w:r>
          </w:p>
        </w:tc>
      </w:tr>
    </w:tbl>
    <w:p/>
    <w:p>
      <w:pPr>
        <w:pStyle w:val="Heading1"/>
      </w:pPr>
      <w:r>
        <w:t>9. Production deployment approach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Environment</w:t>
            </w:r>
          </w:p>
        </w:tc>
        <w:tc>
          <w:tcPr>
            <w:tcW w:type="dxa" w:w="2556"/>
            <w:shd w:fill="173F5F"/>
          </w:tcPr>
          <w:p>
            <w:r>
              <w:rPr>
                <w:b/>
                <w:color w:val="FFFFFF"/>
                <w:sz w:val="16"/>
              </w:rPr>
              <w:t>Purpose</w:t>
            </w:r>
          </w:p>
        </w:tc>
        <w:tc>
          <w:tcPr>
            <w:tcW w:type="dxa" w:w="2556"/>
            <w:shd w:fill="173F5F"/>
          </w:tcPr>
          <w:p>
            <w:r>
              <w:rPr>
                <w:b/>
                <w:color w:val="FFFFFF"/>
                <w:sz w:val="16"/>
              </w:rPr>
              <w:t>Data</w:t>
            </w:r>
          </w:p>
        </w:tc>
        <w:tc>
          <w:tcPr>
            <w:tcW w:type="dxa" w:w="2556"/>
            <w:shd w:fill="173F5F"/>
          </w:tcPr>
          <w:p>
            <w:r>
              <w:rPr>
                <w:b/>
                <w:color w:val="FFFFFF"/>
                <w:sz w:val="16"/>
              </w:rPr>
              <w:t>Deployment rule</w:t>
            </w:r>
          </w:p>
        </w:tc>
      </w:tr>
      <w:tr>
        <w:tc>
          <w:tcPr>
            <w:tcW w:type="dxa" w:w="2556"/>
          </w:tcPr>
          <w:p>
            <w:pPr>
              <w:spacing w:after="20"/>
            </w:pPr>
            <w:r>
              <w:rPr>
                <w:sz w:val="16"/>
              </w:rPr>
              <w:t>Developer</w:t>
            </w:r>
          </w:p>
        </w:tc>
        <w:tc>
          <w:tcPr>
            <w:tcW w:type="dxa" w:w="2556"/>
          </w:tcPr>
          <w:p>
            <w:pPr>
              <w:spacing w:after="20"/>
            </w:pPr>
            <w:r>
              <w:rPr>
                <w:sz w:val="16"/>
              </w:rPr>
              <w:t>Individual/team build and unit tests.</w:t>
            </w:r>
          </w:p>
        </w:tc>
        <w:tc>
          <w:tcPr>
            <w:tcW w:type="dxa" w:w="2556"/>
          </w:tcPr>
          <w:p>
            <w:pPr>
              <w:spacing w:after="20"/>
            </w:pPr>
            <w:r>
              <w:rPr>
                <w:sz w:val="16"/>
              </w:rPr>
              <w:t>Synthetic only.</w:t>
            </w:r>
          </w:p>
        </w:tc>
        <w:tc>
          <w:tcPr>
            <w:tcW w:type="dxa" w:w="2556"/>
          </w:tcPr>
          <w:p>
            <w:pPr>
              <w:spacing w:after="20"/>
            </w:pPr>
            <w:r>
              <w:rPr>
                <w:sz w:val="16"/>
              </w:rPr>
              <w:t>Unmanaged development components; source controlled.</w:t>
            </w:r>
          </w:p>
        </w:tc>
      </w:tr>
      <w:tr>
        <w:tc>
          <w:tcPr>
            <w:tcW w:type="dxa" w:w="2556"/>
            <w:shd w:fill="F4F7FA"/>
          </w:tcPr>
          <w:p>
            <w:pPr>
              <w:spacing w:after="20"/>
            </w:pPr>
            <w:r>
              <w:rPr>
                <w:sz w:val="16"/>
              </w:rPr>
              <w:t>Integration</w:t>
            </w:r>
          </w:p>
        </w:tc>
        <w:tc>
          <w:tcPr>
            <w:tcW w:type="dxa" w:w="2556"/>
            <w:shd w:fill="F4F7FA"/>
          </w:tcPr>
          <w:p>
            <w:pPr>
              <w:spacing w:after="20"/>
            </w:pPr>
            <w:r>
              <w:rPr>
                <w:sz w:val="16"/>
              </w:rPr>
              <w:t>Cross-component and connector testing.</w:t>
            </w:r>
          </w:p>
        </w:tc>
        <w:tc>
          <w:tcPr>
            <w:tcW w:type="dxa" w:w="2556"/>
            <w:shd w:fill="F4F7FA"/>
          </w:tcPr>
          <w:p>
            <w:pPr>
              <w:spacing w:after="20"/>
            </w:pPr>
            <w:r>
              <w:rPr>
                <w:sz w:val="16"/>
              </w:rPr>
              <w:t>Synthetic/masked.</w:t>
            </w:r>
          </w:p>
        </w:tc>
        <w:tc>
          <w:tcPr>
            <w:tcW w:type="dxa" w:w="2556"/>
            <w:shd w:fill="F4F7FA"/>
          </w:tcPr>
          <w:p>
            <w:pPr>
              <w:spacing w:after="20"/>
            </w:pPr>
            <w:r>
              <w:rPr>
                <w:sz w:val="16"/>
              </w:rPr>
              <w:t>Automated import and API contract tests.</w:t>
            </w:r>
          </w:p>
        </w:tc>
      </w:tr>
      <w:tr>
        <w:tc>
          <w:tcPr>
            <w:tcW w:type="dxa" w:w="2556"/>
          </w:tcPr>
          <w:p>
            <w:pPr>
              <w:spacing w:after="20"/>
            </w:pPr>
            <w:r>
              <w:rPr>
                <w:sz w:val="16"/>
              </w:rPr>
              <w:t>System Test / QA</w:t>
            </w:r>
          </w:p>
        </w:tc>
        <w:tc>
          <w:tcPr>
            <w:tcW w:type="dxa" w:w="2556"/>
          </w:tcPr>
          <w:p>
            <w:pPr>
              <w:spacing w:after="20"/>
            </w:pPr>
            <w:r>
              <w:rPr>
                <w:sz w:val="16"/>
              </w:rPr>
              <w:t>End-to-end functional, negative, security, and regression testing.</w:t>
            </w:r>
          </w:p>
        </w:tc>
        <w:tc>
          <w:tcPr>
            <w:tcW w:type="dxa" w:w="2556"/>
          </w:tcPr>
          <w:p>
            <w:pPr>
              <w:spacing w:after="20"/>
            </w:pPr>
            <w:r>
              <w:rPr>
                <w:sz w:val="16"/>
              </w:rPr>
              <w:t>Representative synthetic/masked.</w:t>
            </w:r>
          </w:p>
        </w:tc>
        <w:tc>
          <w:tcPr>
            <w:tcW w:type="dxa" w:w="2556"/>
          </w:tcPr>
          <w:p>
            <w:pPr>
              <w:spacing w:after="20"/>
            </w:pPr>
            <w:r>
              <w:rPr>
                <w:sz w:val="16"/>
              </w:rPr>
              <w:t>Managed solution candidate; frozen versions.</w:t>
            </w:r>
          </w:p>
        </w:tc>
      </w:tr>
      <w:tr>
        <w:tc>
          <w:tcPr>
            <w:tcW w:type="dxa" w:w="2556"/>
            <w:shd w:fill="F4F7FA"/>
          </w:tcPr>
          <w:p>
            <w:pPr>
              <w:spacing w:after="20"/>
            </w:pPr>
            <w:r>
              <w:rPr>
                <w:sz w:val="16"/>
              </w:rPr>
              <w:t>UAT / Pre-production</w:t>
            </w:r>
          </w:p>
        </w:tc>
        <w:tc>
          <w:tcPr>
            <w:tcW w:type="dxa" w:w="2556"/>
            <w:shd w:fill="F4F7FA"/>
          </w:tcPr>
          <w:p>
            <w:pPr>
              <w:spacing w:after="20"/>
            </w:pPr>
            <w:r>
              <w:rPr>
                <w:sz w:val="16"/>
              </w:rPr>
              <w:t>Business validation, operational rehearsal, performance and cutover rehearsal.</w:t>
            </w:r>
          </w:p>
        </w:tc>
        <w:tc>
          <w:tcPr>
            <w:tcW w:type="dxa" w:w="2556"/>
            <w:shd w:fill="F4F7FA"/>
          </w:tcPr>
          <w:p>
            <w:pPr>
              <w:spacing w:after="20"/>
            </w:pPr>
            <w:r>
              <w:rPr>
                <w:sz w:val="16"/>
              </w:rPr>
              <w:t>Masked or approved limited data.</w:t>
            </w:r>
          </w:p>
        </w:tc>
        <w:tc>
          <w:tcPr>
            <w:tcW w:type="dxa" w:w="2556"/>
            <w:shd w:fill="F4F7FA"/>
          </w:tcPr>
          <w:p>
            <w:pPr>
              <w:spacing w:after="20"/>
            </w:pPr>
            <w:r>
              <w:rPr>
                <w:sz w:val="16"/>
              </w:rPr>
              <w:t>Production-like configuration; release candidate only.</w:t>
            </w:r>
          </w:p>
        </w:tc>
      </w:tr>
      <w:tr>
        <w:tc>
          <w:tcPr>
            <w:tcW w:type="dxa" w:w="2556"/>
          </w:tcPr>
          <w:p>
            <w:pPr>
              <w:spacing w:after="20"/>
            </w:pPr>
            <w:r>
              <w:rPr>
                <w:sz w:val="16"/>
              </w:rPr>
              <w:t>Production</w:t>
            </w:r>
          </w:p>
        </w:tc>
        <w:tc>
          <w:tcPr>
            <w:tcW w:type="dxa" w:w="2556"/>
          </w:tcPr>
          <w:p>
            <w:pPr>
              <w:spacing w:after="20"/>
            </w:pPr>
            <w:r>
              <w:rPr>
                <w:sz w:val="16"/>
              </w:rPr>
              <w:t>Authorized live processing.</w:t>
            </w:r>
          </w:p>
        </w:tc>
        <w:tc>
          <w:tcPr>
            <w:tcW w:type="dxa" w:w="2556"/>
          </w:tcPr>
          <w:p>
            <w:pPr>
              <w:spacing w:after="20"/>
            </w:pPr>
            <w:r>
              <w:rPr>
                <w:sz w:val="16"/>
              </w:rPr>
              <w:t>Classified operational data.</w:t>
            </w:r>
          </w:p>
        </w:tc>
        <w:tc>
          <w:tcPr>
            <w:tcW w:type="dxa" w:w="2556"/>
          </w:tcPr>
          <w:p>
            <w:pPr>
              <w:spacing w:after="20"/>
            </w:pPr>
            <w:r>
              <w:rPr>
                <w:sz w:val="16"/>
              </w:rPr>
              <w:t>Managed solutions, approved service principals, locked configurations, monitored deployment.</w:t>
            </w:r>
          </w:p>
        </w:tc>
      </w:tr>
      <w:tr>
        <w:tc>
          <w:tcPr>
            <w:tcW w:type="dxa" w:w="2556"/>
            <w:shd w:fill="F4F7FA"/>
          </w:tcPr>
          <w:p>
            <w:pPr>
              <w:spacing w:after="20"/>
            </w:pPr>
            <w:r>
              <w:rPr>
                <w:sz w:val="16"/>
              </w:rPr>
              <w:t>DR / Recovery</w:t>
            </w:r>
          </w:p>
        </w:tc>
        <w:tc>
          <w:tcPr>
            <w:tcW w:type="dxa" w:w="2556"/>
            <w:shd w:fill="F4F7FA"/>
          </w:tcPr>
          <w:p>
            <w:pPr>
              <w:spacing w:after="20"/>
            </w:pPr>
            <w:r>
              <w:rPr>
                <w:sz w:val="16"/>
              </w:rPr>
              <w:t>Recovery validation and continuity.</w:t>
            </w:r>
          </w:p>
        </w:tc>
        <w:tc>
          <w:tcPr>
            <w:tcW w:type="dxa" w:w="2556"/>
            <w:shd w:fill="F4F7FA"/>
          </w:tcPr>
          <w:p>
            <w:pPr>
              <w:spacing w:after="20"/>
            </w:pPr>
            <w:r>
              <w:rPr>
                <w:sz w:val="16"/>
              </w:rPr>
              <w:t>Replicated/backup data per policy.</w:t>
            </w:r>
          </w:p>
        </w:tc>
        <w:tc>
          <w:tcPr>
            <w:tcW w:type="dxa" w:w="2556"/>
            <w:shd w:fill="F4F7FA"/>
          </w:tcPr>
          <w:p>
            <w:pPr>
              <w:spacing w:after="20"/>
            </w:pPr>
            <w:r>
              <w:rPr>
                <w:sz w:val="16"/>
              </w:rPr>
              <w:t>Regular restore and failover exercises.</w:t>
            </w:r>
          </w:p>
        </w:tc>
      </w:tr>
    </w:tbl>
    <w:p/>
    <w:p>
      <w:r>
        <w:t>Recommended release mechanics: source-controlled solutions and Node.js services; pull-request review; automated unit/contract/eval/security tests; solution checker; signed artifacts; approval gates; managed Power Platform solution import; blue/green or revision-based Azure deployment; smoke tests; progressive user enablement; monitored rollback window; and archived release evidence.</w:t>
      </w:r>
    </w:p>
    <w:p>
      <w:pPr>
        <w:pStyle w:val="Heading1"/>
      </w:pPr>
      <w:r>
        <w:t>10. Go-live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Go-live phase</w:t>
            </w:r>
          </w:p>
        </w:tc>
        <w:tc>
          <w:tcPr>
            <w:tcW w:type="dxa" w:w="2556"/>
            <w:shd w:fill="173F5F"/>
          </w:tcPr>
          <w:p>
            <w:r>
              <w:rPr>
                <w:b/>
                <w:color w:val="FFFFFF"/>
                <w:sz w:val="16"/>
              </w:rPr>
              <w:t>Entrance criteria</w:t>
            </w:r>
          </w:p>
        </w:tc>
        <w:tc>
          <w:tcPr>
            <w:tcW w:type="dxa" w:w="2556"/>
            <w:shd w:fill="173F5F"/>
          </w:tcPr>
          <w:p>
            <w:r>
              <w:rPr>
                <w:b/>
                <w:color w:val="FFFFFF"/>
                <w:sz w:val="16"/>
              </w:rPr>
              <w:t>Activity</w:t>
            </w:r>
          </w:p>
        </w:tc>
        <w:tc>
          <w:tcPr>
            <w:tcW w:type="dxa" w:w="2556"/>
            <w:shd w:fill="173F5F"/>
          </w:tcPr>
          <w:p>
            <w:r>
              <w:rPr>
                <w:b/>
                <w:color w:val="FFFFFF"/>
                <w:sz w:val="16"/>
              </w:rPr>
              <w:t>Exit criteria</w:t>
            </w:r>
          </w:p>
        </w:tc>
      </w:tr>
      <w:tr>
        <w:tc>
          <w:tcPr>
            <w:tcW w:type="dxa" w:w="2556"/>
          </w:tcPr>
          <w:p>
            <w:pPr>
              <w:spacing w:after="20"/>
            </w:pPr>
            <w:r>
              <w:rPr>
                <w:sz w:val="16"/>
              </w:rPr>
              <w:t>0. Governance approval</w:t>
            </w:r>
          </w:p>
        </w:tc>
        <w:tc>
          <w:tcPr>
            <w:tcW w:type="dxa" w:w="2556"/>
          </w:tcPr>
          <w:p>
            <w:pPr>
              <w:spacing w:after="20"/>
            </w:pPr>
            <w:r>
              <w:rPr>
                <w:sz w:val="16"/>
              </w:rPr>
              <w:t>Named owners and funding; data classification; architecture and compliance review.</w:t>
            </w:r>
          </w:p>
        </w:tc>
        <w:tc>
          <w:tcPr>
            <w:tcW w:type="dxa" w:w="2556"/>
          </w:tcPr>
          <w:p>
            <w:pPr>
              <w:spacing w:after="20"/>
            </w:pPr>
            <w:r>
              <w:rPr>
                <w:sz w:val="16"/>
              </w:rPr>
              <w:t>Approve target operating model, licensing, support, records, model, and risk ownership.</w:t>
            </w:r>
          </w:p>
        </w:tc>
        <w:tc>
          <w:tcPr>
            <w:tcW w:type="dxa" w:w="2556"/>
          </w:tcPr>
          <w:p>
            <w:pPr>
              <w:spacing w:after="20"/>
            </w:pPr>
            <w:r>
              <w:rPr>
                <w:sz w:val="16"/>
              </w:rPr>
              <w:t>Decision log and funded backlog.</w:t>
            </w:r>
          </w:p>
        </w:tc>
      </w:tr>
      <w:tr>
        <w:tc>
          <w:tcPr>
            <w:tcW w:type="dxa" w:w="2556"/>
            <w:shd w:fill="F4F7FA"/>
          </w:tcPr>
          <w:p>
            <w:pPr>
              <w:spacing w:after="20"/>
            </w:pPr>
            <w:r>
              <w:rPr>
                <w:sz w:val="16"/>
              </w:rPr>
              <w:t>1. Foundation</w:t>
            </w:r>
          </w:p>
        </w:tc>
        <w:tc>
          <w:tcPr>
            <w:tcW w:type="dxa" w:w="2556"/>
            <w:shd w:fill="F4F7FA"/>
          </w:tcPr>
          <w:p>
            <w:pPr>
              <w:spacing w:after="20"/>
            </w:pPr>
            <w:r>
              <w:rPr>
                <w:sz w:val="16"/>
              </w:rPr>
              <w:t>Environments, identities, DLP, Dataverse, repos, pipelines available.</w:t>
            </w:r>
          </w:p>
        </w:tc>
        <w:tc>
          <w:tcPr>
            <w:tcW w:type="dxa" w:w="2556"/>
            <w:shd w:fill="F4F7FA"/>
          </w:tcPr>
          <w:p>
            <w:pPr>
              <w:spacing w:after="20"/>
            </w:pPr>
            <w:r>
              <w:rPr>
                <w:sz w:val="16"/>
              </w:rPr>
              <w:t>Establish ALM, secrets, telemetry, configuration registry, and test harness.</w:t>
            </w:r>
          </w:p>
        </w:tc>
        <w:tc>
          <w:tcPr>
            <w:tcW w:type="dxa" w:w="2556"/>
            <w:shd w:fill="F4F7FA"/>
          </w:tcPr>
          <w:p>
            <w:pPr>
              <w:spacing w:after="20"/>
            </w:pPr>
            <w:r>
              <w:rPr>
                <w:sz w:val="16"/>
              </w:rPr>
              <w:t>Platform readiness review PASS.</w:t>
            </w:r>
          </w:p>
        </w:tc>
      </w:tr>
      <w:tr>
        <w:tc>
          <w:tcPr>
            <w:tcW w:type="dxa" w:w="2556"/>
          </w:tcPr>
          <w:p>
            <w:pPr>
              <w:spacing w:after="20"/>
            </w:pPr>
            <w:r>
              <w:rPr>
                <w:sz w:val="16"/>
              </w:rPr>
              <w:t>2. Controlled build</w:t>
            </w:r>
          </w:p>
        </w:tc>
        <w:tc>
          <w:tcPr>
            <w:tcW w:type="dxa" w:w="2556"/>
          </w:tcPr>
          <w:p>
            <w:pPr>
              <w:spacing w:after="20"/>
            </w:pPr>
            <w:r>
              <w:rPr>
                <w:sz w:val="16"/>
              </w:rPr>
              <w:t>Prioritized production backlog and schemas approved.</w:t>
            </w:r>
          </w:p>
        </w:tc>
        <w:tc>
          <w:tcPr>
            <w:tcW w:type="dxa" w:w="2556"/>
          </w:tcPr>
          <w:p>
            <w:pPr>
              <w:spacing w:after="20"/>
            </w:pPr>
            <w:r>
              <w:rPr>
                <w:sz w:val="16"/>
              </w:rPr>
              <w:t>Implement case app, workflows, APIs, Agent contracts, data migration, and dashboards.</w:t>
            </w:r>
          </w:p>
        </w:tc>
        <w:tc>
          <w:tcPr>
            <w:tcW w:type="dxa" w:w="2556"/>
          </w:tcPr>
          <w:p>
            <w:pPr>
              <w:spacing w:after="20"/>
            </w:pPr>
            <w:r>
              <w:rPr>
                <w:sz w:val="16"/>
              </w:rPr>
              <w:t>System/integration tests PASS.</w:t>
            </w:r>
          </w:p>
        </w:tc>
      </w:tr>
      <w:tr>
        <w:tc>
          <w:tcPr>
            <w:tcW w:type="dxa" w:w="2556"/>
            <w:shd w:fill="F4F7FA"/>
          </w:tcPr>
          <w:p>
            <w:pPr>
              <w:spacing w:after="20"/>
            </w:pPr>
            <w:r>
              <w:rPr>
                <w:sz w:val="16"/>
              </w:rPr>
              <w:t>3. Pilot</w:t>
            </w:r>
          </w:p>
        </w:tc>
        <w:tc>
          <w:tcPr>
            <w:tcW w:type="dxa" w:w="2556"/>
            <w:shd w:fill="F4F7FA"/>
          </w:tcPr>
          <w:p>
            <w:pPr>
              <w:spacing w:after="20"/>
            </w:pPr>
            <w:r>
              <w:rPr>
                <w:sz w:val="16"/>
              </w:rPr>
              <w:t>UAT and security gates passed; limited user/case cohort selected.</w:t>
            </w:r>
          </w:p>
        </w:tc>
        <w:tc>
          <w:tcPr>
            <w:tcW w:type="dxa" w:w="2556"/>
            <w:shd w:fill="F4F7FA"/>
          </w:tcPr>
          <w:p>
            <w:pPr>
              <w:spacing w:after="20"/>
            </w:pPr>
            <w:r>
              <w:rPr>
                <w:sz w:val="16"/>
              </w:rPr>
              <w:t>Shadow mode first: compare production candidate against human current process without changing decisions.</w:t>
            </w:r>
          </w:p>
        </w:tc>
        <w:tc>
          <w:tcPr>
            <w:tcW w:type="dxa" w:w="2556"/>
            <w:shd w:fill="F4F7FA"/>
          </w:tcPr>
          <w:p>
            <w:pPr>
              <w:spacing w:after="20"/>
            </w:pPr>
            <w:r>
              <w:rPr>
                <w:sz w:val="16"/>
              </w:rPr>
              <w:t>Quality, cost, latency, and control thresholds met.</w:t>
            </w:r>
          </w:p>
        </w:tc>
      </w:tr>
      <w:tr>
        <w:tc>
          <w:tcPr>
            <w:tcW w:type="dxa" w:w="2556"/>
          </w:tcPr>
          <w:p>
            <w:pPr>
              <w:spacing w:after="20"/>
            </w:pPr>
            <w:r>
              <w:rPr>
                <w:sz w:val="16"/>
              </w:rPr>
              <w:t>4. Limited production</w:t>
            </w:r>
          </w:p>
        </w:tc>
        <w:tc>
          <w:tcPr>
            <w:tcW w:type="dxa" w:w="2556"/>
          </w:tcPr>
          <w:p>
            <w:pPr>
              <w:spacing w:after="20"/>
            </w:pPr>
            <w:r>
              <w:rPr>
                <w:sz w:val="16"/>
              </w:rPr>
              <w:t>Pilot accepted; support and rollback ready.</w:t>
            </w:r>
          </w:p>
        </w:tc>
        <w:tc>
          <w:tcPr>
            <w:tcW w:type="dxa" w:w="2556"/>
          </w:tcPr>
          <w:p>
            <w:pPr>
              <w:spacing w:after="20"/>
            </w:pPr>
            <w:r>
              <w:rPr>
                <w:sz w:val="16"/>
              </w:rPr>
              <w:t>Enable one region/team/change type; daily war-room review; no autonomous expansion.</w:t>
            </w:r>
          </w:p>
        </w:tc>
        <w:tc>
          <w:tcPr>
            <w:tcW w:type="dxa" w:w="2556"/>
          </w:tcPr>
          <w:p>
            <w:pPr>
              <w:spacing w:after="20"/>
            </w:pPr>
            <w:r>
              <w:rPr>
                <w:sz w:val="16"/>
              </w:rPr>
              <w:t>Stable SLOs and no unresolved severe incidents.</w:t>
            </w:r>
          </w:p>
        </w:tc>
      </w:tr>
      <w:tr>
        <w:tc>
          <w:tcPr>
            <w:tcW w:type="dxa" w:w="2556"/>
            <w:shd w:fill="F4F7FA"/>
          </w:tcPr>
          <w:p>
            <w:pPr>
              <w:spacing w:after="20"/>
            </w:pPr>
            <w:r>
              <w:rPr>
                <w:sz w:val="16"/>
              </w:rPr>
              <w:t>5. General availability</w:t>
            </w:r>
          </w:p>
        </w:tc>
        <w:tc>
          <w:tcPr>
            <w:tcW w:type="dxa" w:w="2556"/>
            <w:shd w:fill="F4F7FA"/>
          </w:tcPr>
          <w:p>
            <w:pPr>
              <w:spacing w:after="20"/>
            </w:pPr>
            <w:r>
              <w:rPr>
                <w:sz w:val="16"/>
              </w:rPr>
              <w:t>Operational review and model-risk approval.</w:t>
            </w:r>
          </w:p>
        </w:tc>
        <w:tc>
          <w:tcPr>
            <w:tcW w:type="dxa" w:w="2556"/>
            <w:shd w:fill="F4F7FA"/>
          </w:tcPr>
          <w:p>
            <w:pPr>
              <w:spacing w:after="20"/>
            </w:pPr>
            <w:r>
              <w:rPr>
                <w:sz w:val="16"/>
              </w:rPr>
              <w:t>Expand users/volume gradually; enforce release calendar and change gates.</w:t>
            </w:r>
          </w:p>
        </w:tc>
        <w:tc>
          <w:tcPr>
            <w:tcW w:type="dxa" w:w="2556"/>
            <w:shd w:fill="F4F7FA"/>
          </w:tcPr>
          <w:p>
            <w:pPr>
              <w:spacing w:after="20"/>
            </w:pPr>
            <w:r>
              <w:rPr>
                <w:sz w:val="16"/>
              </w:rPr>
              <w:t>BAU ownership accepted.</w:t>
            </w:r>
          </w:p>
        </w:tc>
      </w:tr>
      <w:tr>
        <w:tc>
          <w:tcPr>
            <w:tcW w:type="dxa" w:w="2556"/>
          </w:tcPr>
          <w:p>
            <w:pPr>
              <w:spacing w:after="20"/>
            </w:pPr>
            <w:r>
              <w:rPr>
                <w:sz w:val="16"/>
              </w:rPr>
              <w:t>6. Scale expansion</w:t>
            </w:r>
          </w:p>
        </w:tc>
        <w:tc>
          <w:tcPr>
            <w:tcW w:type="dxa" w:w="2556"/>
          </w:tcPr>
          <w:p>
            <w:pPr>
              <w:spacing w:after="20"/>
            </w:pPr>
            <w:r>
              <w:rPr>
                <w:sz w:val="16"/>
              </w:rPr>
              <w:t>Capacity and business case demonstrated.</w:t>
            </w:r>
          </w:p>
        </w:tc>
        <w:tc>
          <w:tcPr>
            <w:tcW w:type="dxa" w:w="2556"/>
          </w:tcPr>
          <w:p>
            <w:pPr>
              <w:spacing w:after="20"/>
            </w:pPr>
            <w:r>
              <w:rPr>
                <w:sz w:val="16"/>
              </w:rPr>
              <w:t>Add change types, integrations, and regions one at a time with full regression evidence.</w:t>
            </w:r>
          </w:p>
        </w:tc>
        <w:tc>
          <w:tcPr>
            <w:tcW w:type="dxa" w:w="2556"/>
          </w:tcPr>
          <w:p>
            <w:pPr>
              <w:spacing w:after="20"/>
            </w:pPr>
            <w:r>
              <w:rPr>
                <w:sz w:val="16"/>
              </w:rPr>
              <w:t>Each expansion separately approved.</w:t>
            </w:r>
          </w:p>
        </w:tc>
      </w:tr>
    </w:tbl>
    <w:p/>
    <w:p>
      <w:pPr>
        <w:pStyle w:val="Heading1"/>
      </w:pPr>
      <w:r>
        <w:t>11. Go-live readiness checklist</w:t>
      </w:r>
    </w:p>
    <w:p>
      <w:pPr>
        <w:pStyle w:val="ListBullet"/>
      </w:pPr>
      <w:r>
        <w:t>Business owner, product owner, model owner, compliance owner, data owner, security owner, operations owner, and support rota named.</w:t>
      </w:r>
    </w:p>
    <w:p>
      <w:pPr>
        <w:pStyle w:val="ListBullet"/>
      </w:pPr>
      <w:r>
        <w:t>Production licensing/capacity and Copilot Studio message/token economics approved.</w:t>
      </w:r>
    </w:p>
    <w:p>
      <w:pPr>
        <w:pStyle w:val="ListBullet"/>
      </w:pPr>
      <w:r>
        <w:t>All production connectors, APIs, service principals, secrets, certificates, and private-network dependencies inventoried.</w:t>
      </w:r>
    </w:p>
    <w:p>
      <w:pPr>
        <w:pStyle w:val="ListBullet"/>
      </w:pPr>
      <w:r>
        <w:t>Risk/configuration catalogue approved; hard exclusions and overrides legally/compliance reviewed.</w:t>
      </w:r>
    </w:p>
    <w:p>
      <w:pPr>
        <w:pStyle w:val="ListBullet"/>
      </w:pPr>
      <w:r>
        <w:t>Positive, negative, missing/duplicate, permission, injection, integration, recovery, performance, and tamper tests pass.</w:t>
      </w:r>
    </w:p>
    <w:p>
      <w:pPr>
        <w:pStyle w:val="ListBullet"/>
      </w:pPr>
      <w:r>
        <w:t>UAT sign-off, runbooks, knowledge articles, escalation matrix, rollback, DR, and manual fallback completed.</w:t>
      </w:r>
    </w:p>
    <w:p>
      <w:pPr>
        <w:pStyle w:val="ListBullet"/>
      </w:pPr>
      <w:r>
        <w:t>Dashboards, alerts, synthetic probes, audit extraction, privacy retention, and cost budgets operational.</w:t>
      </w:r>
    </w:p>
    <w:p>
      <w:pPr>
        <w:pStyle w:val="ListBullet"/>
      </w:pPr>
      <w:r>
        <w:t>No open Sev-1/Sev-2 defects; residual risks formally accepted.</w:t>
      </w:r>
    </w:p>
    <w:p>
      <w:pPr>
        <w:pStyle w:val="Heading1"/>
      </w:pPr>
      <w:r>
        <w:t>12. Key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Risk</w:t>
            </w:r>
          </w:p>
        </w:tc>
        <w:tc>
          <w:tcPr>
            <w:tcW w:type="dxa" w:w="3408"/>
            <w:shd w:fill="173F5F"/>
          </w:tcPr>
          <w:p>
            <w:r>
              <w:rPr>
                <w:b/>
                <w:color w:val="FFFFFF"/>
                <w:sz w:val="16"/>
              </w:rPr>
              <w:t>Consequence</w:t>
            </w:r>
          </w:p>
        </w:tc>
        <w:tc>
          <w:tcPr>
            <w:tcW w:type="dxa" w:w="3408"/>
            <w:shd w:fill="173F5F"/>
          </w:tcPr>
          <w:p>
            <w:r>
              <w:rPr>
                <w:b/>
                <w:color w:val="FFFFFF"/>
                <w:sz w:val="16"/>
              </w:rPr>
              <w:t>Mitigation</w:t>
            </w:r>
          </w:p>
        </w:tc>
      </w:tr>
      <w:tr>
        <w:tc>
          <w:tcPr>
            <w:tcW w:type="dxa" w:w="3408"/>
          </w:tcPr>
          <w:p>
            <w:pPr>
              <w:spacing w:after="20"/>
            </w:pPr>
            <w:r>
              <w:rPr>
                <w:sz w:val="16"/>
              </w:rPr>
              <w:t>Agent hallucination or source misattribution</w:t>
            </w:r>
          </w:p>
        </w:tc>
        <w:tc>
          <w:tcPr>
            <w:tcW w:type="dxa" w:w="3408"/>
          </w:tcPr>
          <w:p>
            <w:pPr>
              <w:spacing w:after="20"/>
            </w:pPr>
            <w:r>
              <w:rPr>
                <w:sz w:val="16"/>
              </w:rPr>
              <w:t>Incorrect facts enter human review.</w:t>
            </w:r>
          </w:p>
        </w:tc>
        <w:tc>
          <w:tcPr>
            <w:tcW w:type="dxa" w:w="3408"/>
          </w:tcPr>
          <w:p>
            <w:pPr>
              <w:spacing w:after="20"/>
            </w:pPr>
            <w:r>
              <w:rPr>
                <w:sz w:val="16"/>
              </w:rPr>
              <w:t>Grounded source IDs, compact contracts, validation, evidence states, human Gate 1, refusal on unresolved material fields.</w:t>
            </w:r>
          </w:p>
        </w:tc>
      </w:tr>
      <w:tr>
        <w:tc>
          <w:tcPr>
            <w:tcW w:type="dxa" w:w="3408"/>
            <w:shd w:fill="F4F7FA"/>
          </w:tcPr>
          <w:p>
            <w:pPr>
              <w:spacing w:after="20"/>
            </w:pPr>
            <w:r>
              <w:rPr>
                <w:sz w:val="16"/>
              </w:rPr>
              <w:t>Configuration drift</w:t>
            </w:r>
          </w:p>
        </w:tc>
        <w:tc>
          <w:tcPr>
            <w:tcW w:type="dxa" w:w="3408"/>
            <w:shd w:fill="F4F7FA"/>
          </w:tcPr>
          <w:p>
            <w:pPr>
              <w:spacing w:after="20"/>
            </w:pPr>
            <w:r>
              <w:rPr>
                <w:sz w:val="16"/>
              </w:rPr>
              <w:t>Same evidence yields different score unexpectedly.</w:t>
            </w:r>
          </w:p>
        </w:tc>
        <w:tc>
          <w:tcPr>
            <w:tcW w:type="dxa" w:w="3408"/>
            <w:shd w:fill="F4F7FA"/>
          </w:tcPr>
          <w:p>
            <w:pPr>
              <w:spacing w:after="20"/>
            </w:pPr>
            <w:r>
              <w:rPr>
                <w:sz w:val="16"/>
              </w:rPr>
              <w:t>Signed immutable config sets, hashes, promotion approval, regression corpus, result versioning.</w:t>
            </w:r>
          </w:p>
        </w:tc>
      </w:tr>
      <w:tr>
        <w:tc>
          <w:tcPr>
            <w:tcW w:type="dxa" w:w="3408"/>
          </w:tcPr>
          <w:p>
            <w:pPr>
              <w:spacing w:after="20"/>
            </w:pPr>
            <w:r>
              <w:rPr>
                <w:sz w:val="16"/>
              </w:rPr>
              <w:t>Workflow lock-in or flow limits</w:t>
            </w:r>
          </w:p>
        </w:tc>
        <w:tc>
          <w:tcPr>
            <w:tcW w:type="dxa" w:w="3408"/>
          </w:tcPr>
          <w:p>
            <w:pPr>
              <w:spacing w:after="20"/>
            </w:pPr>
            <w:r>
              <w:rPr>
                <w:sz w:val="16"/>
              </w:rPr>
              <w:t>Long cases fail or become difficult to recover.</w:t>
            </w:r>
          </w:p>
        </w:tc>
        <w:tc>
          <w:tcPr>
            <w:tcW w:type="dxa" w:w="3408"/>
          </w:tcPr>
          <w:p>
            <w:pPr>
              <w:spacing w:after="20"/>
            </w:pPr>
            <w:r>
              <w:rPr>
                <w:sz w:val="16"/>
              </w:rPr>
              <w:t>Separate human workflow from technical orchestration; Service Bus/Durable Functions for resilient processing.</w:t>
            </w:r>
          </w:p>
        </w:tc>
      </w:tr>
      <w:tr>
        <w:tc>
          <w:tcPr>
            <w:tcW w:type="dxa" w:w="3408"/>
            <w:shd w:fill="F4F7FA"/>
          </w:tcPr>
          <w:p>
            <w:pPr>
              <w:spacing w:after="20"/>
            </w:pPr>
            <w:r>
              <w:rPr>
                <w:sz w:val="16"/>
              </w:rPr>
              <w:t>Sensitive data leakage into telemetry</w:t>
            </w:r>
          </w:p>
        </w:tc>
        <w:tc>
          <w:tcPr>
            <w:tcW w:type="dxa" w:w="3408"/>
            <w:shd w:fill="F4F7FA"/>
          </w:tcPr>
          <w:p>
            <w:pPr>
              <w:spacing w:after="20"/>
            </w:pPr>
            <w:r>
              <w:rPr>
                <w:sz w:val="16"/>
              </w:rPr>
              <w:t>Privacy/compliance breach.</w:t>
            </w:r>
          </w:p>
        </w:tc>
        <w:tc>
          <w:tcPr>
            <w:tcW w:type="dxa" w:w="3408"/>
            <w:shd w:fill="F4F7FA"/>
          </w:tcPr>
          <w:p>
            <w:pPr>
              <w:spacing w:after="20"/>
            </w:pPr>
            <w:r>
              <w:rPr>
                <w:sz w:val="16"/>
              </w:rPr>
              <w:t>Data minimization, redaction, restricted transcript roles, retention limits, private telemetry access.</w:t>
            </w:r>
          </w:p>
        </w:tc>
      </w:tr>
      <w:tr>
        <w:tc>
          <w:tcPr>
            <w:tcW w:type="dxa" w:w="3408"/>
          </w:tcPr>
          <w:p>
            <w:pPr>
              <w:spacing w:after="20"/>
            </w:pPr>
            <w:r>
              <w:rPr>
                <w:sz w:val="16"/>
              </w:rPr>
              <w:t>Cost or token runaway</w:t>
            </w:r>
          </w:p>
        </w:tc>
        <w:tc>
          <w:tcPr>
            <w:tcW w:type="dxa" w:w="3408"/>
          </w:tcPr>
          <w:p>
            <w:pPr>
              <w:spacing w:after="20"/>
            </w:pPr>
            <w:r>
              <w:rPr>
                <w:sz w:val="16"/>
              </w:rPr>
              <w:t>Budget exhaustion and degraded throughput.</w:t>
            </w:r>
          </w:p>
        </w:tc>
        <w:tc>
          <w:tcPr>
            <w:tcW w:type="dxa" w:w="3408"/>
          </w:tcPr>
          <w:p>
            <w:pPr>
              <w:spacing w:after="20"/>
            </w:pPr>
            <w:r>
              <w:rPr>
                <w:sz w:val="16"/>
              </w:rPr>
              <w:t>Budgets, quotas, bounded retries, compact retrieval, model routing, dashboards and alerts.</w:t>
            </w:r>
          </w:p>
        </w:tc>
      </w:tr>
      <w:tr>
        <w:tc>
          <w:tcPr>
            <w:tcW w:type="dxa" w:w="3408"/>
            <w:shd w:fill="F4F7FA"/>
          </w:tcPr>
          <w:p>
            <w:pPr>
              <w:spacing w:after="20"/>
            </w:pPr>
            <w:r>
              <w:rPr>
                <w:sz w:val="16"/>
              </w:rPr>
              <w:t>Human rubber-stamping</w:t>
            </w:r>
          </w:p>
        </w:tc>
        <w:tc>
          <w:tcPr>
            <w:tcW w:type="dxa" w:w="3408"/>
            <w:shd w:fill="F4F7FA"/>
          </w:tcPr>
          <w:p>
            <w:pPr>
              <w:spacing w:after="20"/>
            </w:pPr>
            <w:r>
              <w:rPr>
                <w:sz w:val="16"/>
              </w:rPr>
              <w:t>Governance becomes cosmetic.</w:t>
            </w:r>
          </w:p>
        </w:tc>
        <w:tc>
          <w:tcPr>
            <w:tcW w:type="dxa" w:w="3408"/>
            <w:shd w:fill="F4F7FA"/>
          </w:tcPr>
          <w:p>
            <w:pPr>
              <w:spacing w:after="20"/>
            </w:pPr>
            <w:r>
              <w:rPr>
                <w:sz w:val="16"/>
              </w:rPr>
              <w:t>Required rationales, sampled QA, decision-time and override analytics, four-eyes controls, periodic reviewer calibration.</w:t>
            </w:r>
          </w:p>
        </w:tc>
      </w:tr>
      <w:tr>
        <w:tc>
          <w:tcPr>
            <w:tcW w:type="dxa" w:w="3408"/>
          </w:tcPr>
          <w:p>
            <w:pPr>
              <w:spacing w:after="20"/>
            </w:pPr>
            <w:r>
              <w:rPr>
                <w:sz w:val="16"/>
              </w:rPr>
              <w:t>Dependency outage</w:t>
            </w:r>
          </w:p>
        </w:tc>
        <w:tc>
          <w:tcPr>
            <w:tcW w:type="dxa" w:w="3408"/>
          </w:tcPr>
          <w:p>
            <w:pPr>
              <w:spacing w:after="20"/>
            </w:pPr>
            <w:r>
              <w:rPr>
                <w:sz w:val="16"/>
              </w:rPr>
              <w:t>Stalled cases.</w:t>
            </w:r>
          </w:p>
        </w:tc>
        <w:tc>
          <w:tcPr>
            <w:tcW w:type="dxa" w:w="3408"/>
          </w:tcPr>
          <w:p>
            <w:pPr>
              <w:spacing w:after="20"/>
            </w:pPr>
            <w:r>
              <w:rPr>
                <w:sz w:val="16"/>
              </w:rPr>
              <w:t>Queues, retries, circuit breakers, manual fallback, backlog replay, status transparency.</w:t>
            </w:r>
          </w:p>
        </w:tc>
      </w:tr>
    </w:tbl>
    <w:p/>
    <w:p>
      <w:pPr>
        <w:pStyle w:val="Heading1"/>
      </w:pPr>
      <w:r>
        <w:t>13. Sources and architecture basis</w:t>
      </w:r>
    </w:p>
    <w:p>
      <w:r>
        <w:t>This target strategy follows Microsoft Power Platform Well-Architected pillars: reliability, security, operational excellence, performance efficiency, and experience optimization. It also uses Microsoft’s ALM model for Power Apps, Power Automate, Dataverse, and Copilot Studio. Dataverse is recommended because it provides secure cloud tables, relationships, business logic, validation, and role/row/column security. Copilot Studio Monitor and platform analytics are incorporated into the companion Operations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Recommended target state | Not yet deployed |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CORRESPONDENT GATE | PRODUCTION READINESS STRATEGY - DEPLOYMENT STAGE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338C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Correspondent Gate - Production Readiness Strategy - Deployment Stage 5</dc:title>
  <dc:subject/>
  <dc:creator>Raymund Esponilla</dc:creator>
  <keywords/>
  <dc:description>generated by python-docx</dc:description>
  <lastModifiedBy>Raymund Esponilla</lastModifiedBy>
  <revision>1</revision>
  <dcterms:created xsi:type="dcterms:W3CDTF">2026-10-26T22:06:24.2481179Z</dcterms:created>
  <dcterms:modified xsi:type="dcterms:W3CDTF">2026-10-26T22:06:24.2481179Z</dcterms:modified>
  <category/>
</coreProperties>
</file>