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F5F"/>
          <w:sz w:val="56"/>
        </w:rPr>
        <w:t>CORRESPONDENT GATE</w:t>
      </w:r>
    </w:p>
    <w:p>
      <w:pPr>
        <w:jc w:val="center"/>
      </w:pPr>
      <w:r>
        <w:rPr>
          <w:b/>
          <w:color w:val="1F7A70"/>
          <w:sz w:val="36"/>
        </w:rPr>
        <w:t>Consolidated Hackathon Executive Summary</w:t>
      </w:r>
    </w:p>
    <w:p>
      <w:pPr>
        <w:jc w:val="center"/>
      </w:pPr>
      <w:r>
        <w:rPr>
          <w:i/>
        </w:rPr>
        <w:t>Agent harness, development lifecycle evidence, deterministic evaluation, token economics, and transparent limitations</w:t>
      </w:r>
    </w:p>
    <w:tbl>
      <w:tblPr>
        <w:tblStyle w:val="TableGrid"/>
        <w:tblW w:type="auto" w:w="0"/>
        <w:jc w:val="center"/>
        <w:tblLook w:firstColumn="1" w:firstRow="1" w:lastColumn="0" w:lastRow="0" w:noHBand="0" w:noVBand="1" w:val="04A0"/>
      </w:tblPr>
      <w:tblGrid>
        <w:gridCol w:w="5141"/>
        <w:gridCol w:w="5141"/>
      </w:tblGrid>
      <w:tr>
        <w:tc>
          <w:tcPr>
            <w:tcW w:type="dxa" w:w="2160"/>
            <w:shd w:fill="173F5F"/>
            <w:vAlign w:val="center"/>
          </w:tcPr>
          <w:p>
            <w:r>
              <w:rPr>
                <w:b/>
                <w:color w:val="FFFFFF"/>
                <w:sz w:val="17"/>
              </w:rPr>
              <w:t>Field</w:t>
            </w:r>
          </w:p>
        </w:tc>
        <w:tc>
          <w:tcPr>
            <w:tcW w:type="dxa" w:w="8352"/>
            <w:shd w:fill="173F5F"/>
            <w:vAlign w:val="center"/>
          </w:tcPr>
          <w:p>
            <w:r>
              <w:rPr>
                <w:b/>
                <w:color w:val="FFFFFF"/>
                <w:sz w:val="17"/>
              </w:rPr>
              <w:t>Value</w:t>
            </w:r>
          </w:p>
        </w:tc>
      </w:tr>
      <w:tr>
        <w:tc>
          <w:tcPr>
            <w:tcW w:type="dxa" w:w="216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Challenge</w:t>
            </w:r>
          </w:p>
        </w:tc>
        <w:tc>
          <w:tcPr>
            <w:tcW w:type="dxa" w:w="8352"/>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Genius Hacks Q3 2026 - Risk Assessment Workbench</w:t>
            </w:r>
          </w:p>
        </w:tc>
      </w:tr>
      <w:tr>
        <w:tc>
          <w:tcPr>
            <w:tcW w:type="dxa" w:w="216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Use case</w:t>
            </w:r>
          </w:p>
        </w:tc>
        <w:tc>
          <w:tcPr>
            <w:tcW w:type="dxa" w:w="8352"/>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Synthetic correspondent-banking respondent onboarding</w:t>
            </w:r>
          </w:p>
        </w:tc>
      </w:tr>
      <w:tr>
        <w:tc>
          <w:tcPr>
            <w:tcW w:type="dxa" w:w="216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Core design</w:t>
            </w:r>
          </w:p>
        </w:tc>
        <w:tc>
          <w:tcPr>
            <w:tcW w:type="dxa" w:w="8352"/>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AI interprets and drafts; deterministic code validates and scores; humans decide</w:t>
            </w:r>
          </w:p>
        </w:tc>
      </w:tr>
      <w:tr>
        <w:tc>
          <w:tcPr>
            <w:tcW w:type="dxa" w:w="216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Evidence baseline</w:t>
            </w:r>
          </w:p>
        </w:tc>
        <w:tc>
          <w:tcPr>
            <w:tcW w:type="dxa" w:w="8352"/>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Requirements, agent outputs, validator/scoring artifacts, four test-evaluation records, and token analysis</w:t>
            </w:r>
          </w:p>
        </w:tc>
      </w:tr>
      <w:tr>
        <w:tc>
          <w:tcPr>
            <w:tcW w:type="dxa" w:w="216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Current state</w:t>
            </w:r>
          </w:p>
        </w:tc>
        <w:tc>
          <w:tcPr>
            <w:tcW w:type="dxa" w:w="8352"/>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Authorized High-band scoring reached Gate 3 memo admission; human Gate 3 decision intentionally blank</w:t>
            </w:r>
          </w:p>
        </w:tc>
      </w:tr>
      <w:tr>
        <w:tc>
          <w:tcPr>
            <w:tcW w:type="dxa" w:w="216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Production claim</w:t>
            </w:r>
          </w:p>
        </w:tc>
        <w:tc>
          <w:tcPr>
            <w:tcW w:type="dxa" w:w="8352"/>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Not production-ready and not scale-tested</w:t>
            </w:r>
          </w:p>
        </w:tc>
      </w:tr>
    </w:tbl>
    <w:p>
      <w:pPr>
        <w:spacing w:after="40"/>
      </w:pPr>
    </w:p>
    <w:tbl>
      <w:tblPr>
        <w:tblW w:type="auto" w:w="0"/>
        <w:jc w:val="center"/>
        <w:tblLook w:firstColumn="1" w:firstRow="1" w:lastColumn="0" w:lastRow="0" w:noHBand="0" w:noVBand="1" w:val="04A0"/>
      </w:tblPr>
      <w:tblGrid>
        <w:gridCol w:w="10282"/>
      </w:tblGrid>
      <w:tr>
        <w:tc>
          <w:tcPr>
            <w:tcW w:type="dxa" w:w="10282"/>
            <w:shd w:fill="EAF4F2"/>
            <w:tcBorders>
              <w:top w:val="single" w:sz="6" w:color="1F7A70"/>
              <w:left w:val="single" w:sz="6" w:color="1F7A70"/>
              <w:bottom w:val="single" w:sz="6" w:color="1F7A70"/>
              <w:right w:val="single" w:sz="6" w:color="1F7A70"/>
              <w:insideH w:val="single" w:sz="6" w:color="1F7A70"/>
              <w:insideV w:val="single" w:sz="6" w:color="1F7A70"/>
            </w:tcBorders>
          </w:tcPr>
          <w:p>
            <w:r>
              <w:rPr>
                <w:b/>
                <w:color w:val="1F7A70"/>
              </w:rPr>
              <w:t xml:space="preserve">SUBMISSION THESIS  </w:t>
            </w:r>
            <w:r>
              <w:t>The strength of the project is not a single polished output. It is the controlled harness and evidence chain that produced, challenged, corrected, and retested the result.</w:t>
            </w:r>
          </w:p>
        </w:tc>
      </w:tr>
    </w:tbl>
    <w:p>
      <w:pPr>
        <w:spacing w:after="20"/>
      </w:pPr>
    </w:p>
    <w:p>
      <w:pPr>
        <w:pStyle w:val="Heading1"/>
      </w:pPr>
      <w:r>
        <w:t>1. Executive conclusion</w:t>
      </w:r>
    </w:p>
    <w:p>
      <w:r>
        <w:t>Correspondent Gate is an AI-assisted, human-governed demonstrator for financial-crime risk assessment of a proposed correspondent-banking relationship. It turns two controlled intake workbooks into traceable facts, validates the resulting package independently, calculates the official risk result through deterministic code, routes the case through accountable human gates, prepares a committee memo, and preserves the final decision boundary for the committee.</w:t>
      </w:r>
    </w:p>
    <w:p>
      <w:r>
        <w:t>The final Batch 2 evaluation supersedes the earlier blocked-state test notes for the CG-CASE-HP-002 / CG-RUN-HP-002 positive path. After contract, mapping, evidence-state, and Gate 1 resolution defects were corrected, the run reached package validation PASS, business readiness READY, scoring AUTHORISED, official residual score 49.97, High band, Gate 2 approval for Gate 3, and Gate 3 memo admission. The Gate 3 decision remained blank by design.</w:t>
      </w:r>
    </w:p>
    <w:tbl>
      <w:tblPr>
        <w:tblStyle w:val="TableGrid"/>
        <w:tblW w:type="auto" w:w="0"/>
        <w:jc w:val="center"/>
        <w:tblLook w:firstColumn="1" w:firstRow="1" w:lastColumn="0" w:lastRow="0" w:noHBand="0" w:noVBand="1" w:val="04A0"/>
      </w:tblPr>
      <w:tblGrid>
        <w:gridCol w:w="5141"/>
        <w:gridCol w:w="5141"/>
      </w:tblGrid>
      <w:tr>
        <w:tc>
          <w:tcPr>
            <w:tcW w:type="dxa" w:w="2880"/>
            <w:shd w:fill="173F5F"/>
            <w:vAlign w:val="center"/>
          </w:tcPr>
          <w:p>
            <w:r>
              <w:rPr>
                <w:b/>
                <w:color w:val="FFFFFF"/>
                <w:sz w:val="17"/>
              </w:rPr>
              <w:t>Final proof point</w:t>
            </w:r>
          </w:p>
        </w:tc>
        <w:tc>
          <w:tcPr>
            <w:tcW w:type="dxa" w:w="7632"/>
            <w:shd w:fill="173F5F"/>
            <w:vAlign w:val="center"/>
          </w:tcPr>
          <w:p>
            <w:r>
              <w:rPr>
                <w:b/>
                <w:color w:val="FFFFFF"/>
                <w:sz w:val="17"/>
              </w:rPr>
              <w:t>Observed outcome</w:t>
            </w:r>
          </w:p>
        </w:tc>
      </w:tr>
      <w:tr>
        <w:tc>
          <w:tcPr>
            <w:tcW w:type="dxa" w:w="288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Package contract</w:t>
            </w:r>
          </w:p>
        </w:tc>
        <w:tc>
          <w:tcPr>
            <w:tcW w:type="dxa" w:w="7632"/>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PASS; Gate 1 review allowed</w:t>
            </w:r>
          </w:p>
        </w:tc>
      </w:tr>
      <w:tr>
        <w:tc>
          <w:tcPr>
            <w:tcW w:type="dxa" w:w="288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Admission</w:t>
            </w:r>
          </w:p>
        </w:tc>
        <w:tc>
          <w:tcPr>
            <w:tcW w:type="dxa" w:w="7632"/>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READY and AUTHORISED; no open blockers</w:t>
            </w:r>
          </w:p>
        </w:tc>
      </w:tr>
      <w:tr>
        <w:tc>
          <w:tcPr>
            <w:tcW w:type="dxa" w:w="288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Official scoring</w:t>
            </w:r>
          </w:p>
        </w:tc>
        <w:tc>
          <w:tcPr>
            <w:tcW w:type="dxa" w:w="7632"/>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Inherent 64.00; multiplier 0.7807; residual 49.97; High</w:t>
            </w:r>
          </w:p>
        </w:tc>
      </w:tr>
      <w:tr>
        <w:tc>
          <w:tcPr>
            <w:tcW w:type="dxa" w:w="288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Routing</w:t>
            </w:r>
          </w:p>
        </w:tc>
        <w:tc>
          <w:tcPr>
            <w:tcW w:type="dxa" w:w="7632"/>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Committee at Gate 3; Gate 2 disposition APPROVE_FOR_GATE_3</w:t>
            </w:r>
          </w:p>
        </w:tc>
      </w:tr>
      <w:tr>
        <w:tc>
          <w:tcPr>
            <w:tcW w:type="dxa" w:w="288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Narrative quality</w:t>
            </w:r>
          </w:p>
        </w:tc>
        <w:tc>
          <w:tcPr>
            <w:tcW w:type="dxa" w:w="7632"/>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Gate 3 memo-quality self-check PASS; 16 required sections</w:t>
            </w:r>
          </w:p>
        </w:tc>
      </w:tr>
      <w:tr>
        <w:tc>
          <w:tcPr>
            <w:tcW w:type="dxa" w:w="288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Human authority</w:t>
            </w:r>
          </w:p>
        </w:tc>
        <w:tc>
          <w:tcPr>
            <w:tcW w:type="dxa" w:w="7632"/>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Final packet DRAFT_PENDING_GATE3_HUMAN_DECISION; no automated decision</w:t>
            </w:r>
          </w:p>
        </w:tc>
      </w:tr>
      <w:tr>
        <w:tc>
          <w:tcPr>
            <w:tcW w:type="dxa" w:w="288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Production/scale</w:t>
            </w:r>
          </w:p>
        </w:tc>
        <w:tc>
          <w:tcPr>
            <w:tcW w:type="dxa" w:w="7632"/>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Not completed; explicitly disclosed</w:t>
            </w:r>
          </w:p>
        </w:tc>
      </w:tr>
    </w:tbl>
    <w:p>
      <w:pPr>
        <w:spacing w:after="40"/>
      </w:pPr>
    </w:p>
    <w:p>
      <w:pPr>
        <w:pStyle w:val="Heading1"/>
      </w:pPr>
      <w:r>
        <w:t>2. Strategy changes and engineering judgment</w:t>
      </w:r>
    </w:p>
    <w:p>
      <w:pPr>
        <w:pStyle w:val="Heading2"/>
      </w:pPr>
      <w:r>
        <w:t>2.1 From broad vendor risk to correspondent banking</w:t>
      </w:r>
    </w:p>
    <w:p>
      <w:r>
        <w:t>The initial direction was generic third-party vendor onboarding. Research showed that this path could not support the brief as strongly as required: the available guidance was not an enforceable risk decomposition for the decision being modeled, and a contemplated FATF citation did not apply to outsourcing or agency relationships. The team changed the method from “search by domain label” to “name the decision, then find the authority governing that decision.”</w:t>
      </w:r>
    </w:p>
    <w:p>
      <w:pPr>
        <w:pStyle w:val="ListBullet"/>
      </w:pPr>
      <w:r>
        <w:t>Selected a regulated and bounded decision: onboarding a foreign financial institution for a correspondent account.</w:t>
      </w:r>
    </w:p>
    <w:p>
      <w:pPr>
        <w:pStyle w:val="ListBullet"/>
      </w:pPr>
      <w:r>
        <w:t>Adopted the Wolfsberg CBDDQ V1.4 rather than inventing a respondent questionnaire.</w:t>
      </w:r>
    </w:p>
    <w:p>
      <w:pPr>
        <w:pStyle w:val="ListBullet"/>
      </w:pPr>
      <w:r>
        <w:t>Added a separate provider-completed Relationship Scoping Form for account purpose, services, anticipated activity, restrictions, and provider-side screening.</w:t>
      </w:r>
    </w:p>
    <w:p>
      <w:pPr>
        <w:pStyle w:val="Heading2"/>
      </w:pPr>
      <w:r>
        <w:t>2.2 Power Apps considered, then removed</w:t>
      </w:r>
    </w:p>
    <w:p>
      <w:r>
        <w:t>The team nearly used Microsoft Power Apps for forms, state transitions, and review experiences. Credits were unavailable, so the project did not claim an implementation that could not be executed and evidenced. The replacement was deliberately simpler: packet-based handoffs, versioned JSON, Excel review artifacts, Node.js controls, and a self-contained HTML committee form.</w:t>
      </w:r>
    </w:p>
    <w:tbl>
      <w:tblPr>
        <w:tblStyle w:val="TableGrid"/>
        <w:tblW w:type="auto" w:w="0"/>
        <w:jc w:val="center"/>
        <w:tblLook w:firstColumn="1" w:firstRow="1" w:lastColumn="0" w:lastRow="0" w:noHBand="0" w:noVBand="1" w:val="04A0"/>
      </w:tblPr>
      <w:tblGrid>
        <w:gridCol w:w="3427"/>
        <w:gridCol w:w="3427"/>
        <w:gridCol w:w="3427"/>
      </w:tblGrid>
      <w:tr>
        <w:tc>
          <w:tcPr>
            <w:tcW w:type="dxa" w:w="2304"/>
            <w:shd w:fill="173F5F"/>
            <w:vAlign w:val="center"/>
          </w:tcPr>
          <w:p>
            <w:r>
              <w:rPr>
                <w:b/>
                <w:color w:val="FFFFFF"/>
                <w:sz w:val="17"/>
              </w:rPr>
              <w:t>Change</w:t>
            </w:r>
          </w:p>
        </w:tc>
        <w:tc>
          <w:tcPr>
            <w:tcW w:type="dxa" w:w="3168"/>
            <w:shd w:fill="173F5F"/>
            <w:vAlign w:val="center"/>
          </w:tcPr>
          <w:p>
            <w:r>
              <w:rPr>
                <w:b/>
                <w:color w:val="FFFFFF"/>
                <w:sz w:val="17"/>
              </w:rPr>
              <w:t>Reason</w:t>
            </w:r>
          </w:p>
        </w:tc>
        <w:tc>
          <w:tcPr>
            <w:tcW w:type="dxa" w:w="5040"/>
            <w:shd w:fill="173F5F"/>
            <w:vAlign w:val="center"/>
          </w:tcPr>
          <w:p>
            <w:r>
              <w:rPr>
                <w:b/>
                <w:color w:val="FFFFFF"/>
                <w:sz w:val="17"/>
              </w:rPr>
              <w:t>Effect</w:t>
            </w:r>
          </w:p>
        </w:tc>
      </w:tr>
      <w:tr>
        <w:tc>
          <w:tcPr>
            <w:tcW w:type="dxa" w:w="2304"/>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Power Apps removed</w:t>
            </w:r>
          </w:p>
        </w:tc>
        <w:tc>
          <w:tcPr>
            <w:tcW w:type="dxa" w:w="3168"/>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Credits unavailable</w:t>
            </w:r>
          </w:p>
        </w:tc>
        <w:tc>
          <w:tcPr>
            <w:tcW w:type="dxa" w:w="504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Avoided an unprovable platform dependency</w:t>
            </w:r>
          </w:p>
        </w:tc>
      </w:tr>
      <w:tr>
        <w:tc>
          <w:tcPr>
            <w:tcW w:type="dxa" w:w="2304"/>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Packet contracts introduced</w:t>
            </w:r>
          </w:p>
        </w:tc>
        <w:tc>
          <w:tcPr>
            <w:tcW w:type="dxa" w:w="3168"/>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Components still needed controlled handoffs</w:t>
            </w:r>
          </w:p>
        </w:tc>
        <w:tc>
          <w:tcPr>
            <w:tcW w:type="dxa" w:w="504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Each stage became independently inspectable and testable</w:t>
            </w:r>
          </w:p>
        </w:tc>
      </w:tr>
      <w:tr>
        <w:tc>
          <w:tcPr>
            <w:tcW w:type="dxa" w:w="2304"/>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Self-contained HTML used</w:t>
            </w:r>
          </w:p>
        </w:tc>
        <w:tc>
          <w:tcPr>
            <w:tcW w:type="dxa" w:w="3168"/>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Needed an interactive Gate 3 demonstration without backend services</w:t>
            </w:r>
          </w:p>
        </w:tc>
        <w:tc>
          <w:tcPr>
            <w:tcW w:type="dxa" w:w="504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Preserved committee UX while prohibiting save, submit, storage, and network actions</w:t>
            </w:r>
          </w:p>
        </w:tc>
      </w:tr>
      <w:tr>
        <w:tc>
          <w:tcPr>
            <w:tcW w:type="dxa" w:w="2304"/>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Zero-dependency Node.js adopted</w:t>
            </w:r>
          </w:p>
        </w:tc>
        <w:tc>
          <w:tcPr>
            <w:tcW w:type="dxa" w:w="3168"/>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Needed portable deterministic controls</w:t>
            </w:r>
          </w:p>
        </w:tc>
        <w:tc>
          <w:tcPr>
            <w:tcW w:type="dxa" w:w="504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No npm runtime dependency in scoring; easier distributed setup and reproducibility</w:t>
            </w:r>
          </w:p>
        </w:tc>
      </w:tr>
    </w:tbl>
    <w:p>
      <w:pPr>
        <w:spacing w:after="40"/>
      </w:pPr>
    </w:p>
    <w:p>
      <w:pPr>
        <w:pStyle w:val="Heading2"/>
      </w:pPr>
      <w:r>
        <w:t>2.3 Failures changed the design</w:t>
      </w:r>
    </w:p>
    <w:p>
      <w:pPr>
        <w:pStyle w:val="ListBullet"/>
      </w:pPr>
      <w:r>
        <w:t>A mapping gap correctly blocked the positive path rather than allowing the model to invent F5.</w:t>
      </w:r>
    </w:p>
    <w:p>
      <w:pPr>
        <w:pStyle w:val="ListBullet"/>
      </w:pPr>
      <w:r>
        <w:t>A PowerShell-to-Node.js collection mismatch exposed that hard_exclusion_candidates was wrapped as an object while downstream code expected an array. The extractor was corrected and retested.</w:t>
      </w:r>
    </w:p>
    <w:p>
      <w:pPr>
        <w:pStyle w:val="ListBullet"/>
      </w:pPr>
      <w:r>
        <w:t>A syntactically valid Gate 1 decision used the wrong nesting and field names. Runtime source inspection established the actual resolver contract, the JSON was regenerated, and per-resolution application was verified.</w:t>
      </w:r>
    </w:p>
    <w:p>
      <w:pPr>
        <w:pStyle w:val="ListBullet"/>
      </w:pPr>
      <w:r>
        <w:t>Earlier test notes correctly described the High-band path as blocked. The later Batch 2 record demonstrates recovery and successful rerun. Both records remain valuable because they prove failure, diagnosis, correction, and success rather than a prearranged demo.</w:t>
      </w:r>
    </w:p>
    <w:p>
      <w:pPr>
        <w:pStyle w:val="Heading2"/>
      </w:pPr>
      <w:r>
        <w:t>2.4 Research basis and derivation of the hackathon MVP</w:t>
      </w:r>
    </w:p>
    <w:p>
      <w:r>
        <w:t>Copilot Agent (Flynn) and Claude Agent used the sources for different layers of the design rather than treating any one document as a ready-made scoring model. The regulations defined mandatory boundaries. FATF supplied international risk context. FFIEC supplied an examiner-style risk-assessment method. The Wolfsberg CBDDQ supplied a practical respondent questionnaire. The provider-completed Relationship Scoping Form was added because the respondent cannot authoritatively state the provider’s intended account purpose, services, restrictions, anticipated activity, or internal screening conclusions.</w:t>
      </w:r>
    </w:p>
    <w:tbl>
      <w:tblPr>
        <w:tblStyle w:val="TableGrid"/>
        <w:tblW w:type="auto" w:w="0"/>
        <w:tblLook w:firstColumn="1" w:firstRow="1" w:lastColumn="0" w:lastRow="0" w:noHBand="0" w:noVBand="1" w:val="04A0"/>
      </w:tblPr>
      <w:tblGrid>
        <w:gridCol w:w="2570"/>
        <w:gridCol w:w="2570"/>
        <w:gridCol w:w="2570"/>
        <w:gridCol w:w="2570"/>
      </w:tblGrid>
      <w:tr>
        <w:tc>
          <w:tcPr>
            <w:tcW w:type="dxa" w:w="2570"/>
            <w:shd w:fill="173F5F"/>
            <w:tcBorders>
              <w:top w:val="single" w:sz="6" w:color="D9E2F3"/>
              <w:left w:val="single" w:sz="6" w:color="D9E2F3"/>
              <w:bottom w:val="single" w:sz="6" w:color="D9E2F3"/>
              <w:right w:val="single" w:sz="6" w:color="D9E2F3"/>
            </w:tcBorders>
          </w:tcPr>
          <w:p>
            <w:r>
              <w:rPr>
                <w:b/>
                <w:color w:val="FFFFFF"/>
                <w:sz w:val="16"/>
              </w:rPr>
              <w:t>Research source</w:t>
            </w:r>
          </w:p>
        </w:tc>
        <w:tc>
          <w:tcPr>
            <w:tcW w:type="dxa" w:w="2570"/>
            <w:shd w:fill="173F5F"/>
            <w:tcBorders>
              <w:top w:val="single" w:sz="6" w:color="D9E2F3"/>
              <w:left w:val="single" w:sz="6" w:color="D9E2F3"/>
              <w:bottom w:val="single" w:sz="6" w:color="D9E2F3"/>
              <w:right w:val="single" w:sz="6" w:color="D9E2F3"/>
            </w:tcBorders>
          </w:tcPr>
          <w:p>
            <w:r>
              <w:rPr>
                <w:b/>
                <w:color w:val="FFFFFF"/>
                <w:sz w:val="16"/>
              </w:rPr>
              <w:t>Why it was used</w:t>
            </w:r>
          </w:p>
        </w:tc>
        <w:tc>
          <w:tcPr>
            <w:tcW w:type="dxa" w:w="2570"/>
            <w:shd w:fill="173F5F"/>
            <w:tcBorders>
              <w:top w:val="single" w:sz="6" w:color="D9E2F3"/>
              <w:left w:val="single" w:sz="6" w:color="D9E2F3"/>
              <w:bottom w:val="single" w:sz="6" w:color="D9E2F3"/>
              <w:right w:val="single" w:sz="6" w:color="D9E2F3"/>
            </w:tcBorders>
          </w:tcPr>
          <w:p>
            <w:r>
              <w:rPr>
                <w:b/>
                <w:color w:val="FFFFFF"/>
                <w:sz w:val="16"/>
              </w:rPr>
              <w:t>How it shaped Correspondent Gate</w:t>
            </w:r>
          </w:p>
        </w:tc>
        <w:tc>
          <w:tcPr>
            <w:tcW w:type="dxa" w:w="2570"/>
            <w:shd w:fill="173F5F"/>
            <w:tcBorders>
              <w:top w:val="single" w:sz="6" w:color="D9E2F3"/>
              <w:left w:val="single" w:sz="6" w:color="D9E2F3"/>
              <w:bottom w:val="single" w:sz="6" w:color="D9E2F3"/>
              <w:right w:val="single" w:sz="6" w:color="D9E2F3"/>
            </w:tcBorders>
          </w:tcPr>
          <w:p>
            <w:r>
              <w:rPr>
                <w:b/>
                <w:color w:val="FFFFFF"/>
                <w:sz w:val="16"/>
              </w:rPr>
              <w:t>MVP treatment</w:t>
            </w:r>
          </w:p>
        </w:tc>
      </w:tr>
      <w:tr>
        <w:tc>
          <w:tcPr>
            <w:tcW w:type="dxa" w:w="2570"/>
            <w:tcBorders>
              <w:top w:val="single" w:sz="6" w:color="D9E2F3"/>
              <w:left w:val="single" w:sz="6" w:color="D9E2F3"/>
              <w:bottom w:val="single" w:sz="6" w:color="D9E2F3"/>
              <w:right w:val="single" w:sz="6" w:color="D9E2F3"/>
            </w:tcBorders>
          </w:tcPr>
          <w:p>
            <w:pPr>
              <w:spacing w:after="20"/>
            </w:pPr>
            <w:r>
              <w:rPr>
                <w:sz w:val="16"/>
              </w:rPr>
              <w:t>31 CFR 1010.610 - Due diligence programs for correspondent accounts for foreign financial institutions</w:t>
            </w:r>
          </w:p>
        </w:tc>
        <w:tc>
          <w:tcPr>
            <w:tcW w:type="dxa" w:w="2570"/>
            <w:tcBorders>
              <w:top w:val="single" w:sz="6" w:color="D9E2F3"/>
              <w:left w:val="single" w:sz="6" w:color="D9E2F3"/>
              <w:bottom w:val="single" w:sz="6" w:color="D9E2F3"/>
              <w:right w:val="single" w:sz="6" w:color="D9E2F3"/>
            </w:tcBorders>
          </w:tcPr>
          <w:p>
            <w:pPr>
              <w:spacing w:after="20"/>
            </w:pPr>
            <w:r>
              <w:rPr>
                <w:sz w:val="16"/>
              </w:rPr>
              <w:t>It directly governs risk-based due diligence for U.S. correspondent accounts for foreign financial institutions. It identifies relevant factors such as the foreign institution’s business and markets, account type/purpose/anticipated activity, relationship history, licensing and AML/supervisory regime, and AML record. It also requires risk-based controls, periodic review, enhanced scrutiny in defined cases, and procedures when due diligence cannot be completed.</w:t>
            </w:r>
          </w:p>
        </w:tc>
        <w:tc>
          <w:tcPr>
            <w:tcW w:type="dxa" w:w="2570"/>
            <w:tcBorders>
              <w:top w:val="single" w:sz="6" w:color="D9E2F3"/>
              <w:left w:val="single" w:sz="6" w:color="D9E2F3"/>
              <w:bottom w:val="single" w:sz="6" w:color="D9E2F3"/>
              <w:right w:val="single" w:sz="6" w:color="D9E2F3"/>
            </w:tcBorders>
          </w:tcPr>
          <w:p>
            <w:pPr>
              <w:spacing w:after="20"/>
            </w:pPr>
            <w:r>
              <w:rPr>
                <w:sz w:val="16"/>
              </w:rPr>
              <w:t>Drove the relationship-scoping fields, jurisdiction and supervisory-risk inputs, ownership/nesting/payable-through attention, evidence-status handling, periodic-review concept, and fail-closed admission when due diligence is incomplete.</w:t>
            </w:r>
          </w:p>
        </w:tc>
        <w:tc>
          <w:tcPr>
            <w:tcW w:type="dxa" w:w="2570"/>
            <w:tcBorders>
              <w:top w:val="single" w:sz="6" w:color="D9E2F3"/>
              <w:left w:val="single" w:sz="6" w:color="D9E2F3"/>
              <w:bottom w:val="single" w:sz="6" w:color="D9E2F3"/>
              <w:right w:val="single" w:sz="6" w:color="D9E2F3"/>
            </w:tcBorders>
          </w:tcPr>
          <w:p>
            <w:pPr>
              <w:spacing w:after="20"/>
            </w:pPr>
            <w:r>
              <w:rPr>
                <w:sz w:val="16"/>
              </w:rPr>
              <w:t>Used as the legal and control boundary. The MVP demonstrates onboarding and routing, not ongoing transaction monitoring or production SAR operations.</w:t>
            </w:r>
          </w:p>
        </w:tc>
      </w:tr>
      <w:tr>
        <w:tc>
          <w:tcPr>
            <w:tcW w:type="dxa" w:w="2570"/>
            <w:tcBorders>
              <w:top w:val="single" w:sz="6" w:color="D9E2F3"/>
              <w:left w:val="single" w:sz="6" w:color="D9E2F3"/>
              <w:bottom w:val="single" w:sz="6" w:color="D9E2F3"/>
              <w:right w:val="single" w:sz="6" w:color="D9E2F3"/>
            </w:tcBorders>
            <w:shd w:fill="F4F7FA"/>
          </w:tcPr>
          <w:p>
            <w:pPr>
              <w:spacing w:after="20"/>
            </w:pPr>
            <w:r>
              <w:rPr>
                <w:sz w:val="16"/>
              </w:rPr>
              <w:t>31 CFR 1010.630 - Foreign shell bank prohibition and related records</w:t>
            </w:r>
          </w:p>
        </w:tc>
        <w:tc>
          <w:tcPr>
            <w:tcW w:type="dxa" w:w="2570"/>
            <w:tcBorders>
              <w:top w:val="single" w:sz="6" w:color="D9E2F3"/>
              <w:left w:val="single" w:sz="6" w:color="D9E2F3"/>
              <w:bottom w:val="single" w:sz="6" w:color="D9E2F3"/>
              <w:right w:val="single" w:sz="6" w:color="D9E2F3"/>
            </w:tcBorders>
            <w:shd w:fill="F4F7FA"/>
          </w:tcPr>
          <w:p>
            <w:pPr>
              <w:spacing w:after="20"/>
            </w:pPr>
            <w:r>
              <w:rPr>
                <w:sz w:val="16"/>
              </w:rPr>
              <w:t>It prohibits correspondent accounts for foreign shell banks, requires reasonable steps against indirect shell-bank access, and requires ownership and U.S. agent records for applicable foreign banks, with certification and recordkeeping rules.</w:t>
            </w:r>
          </w:p>
        </w:tc>
        <w:tc>
          <w:tcPr>
            <w:tcW w:type="dxa" w:w="2570"/>
            <w:tcBorders>
              <w:top w:val="single" w:sz="6" w:color="D9E2F3"/>
              <w:left w:val="single" w:sz="6" w:color="D9E2F3"/>
              <w:bottom w:val="single" w:sz="6" w:color="D9E2F3"/>
              <w:right w:val="single" w:sz="6" w:color="D9E2F3"/>
            </w:tcBorders>
            <w:shd w:fill="F4F7FA"/>
          </w:tcPr>
          <w:p>
            <w:pPr>
              <w:spacing w:after="20"/>
            </w:pPr>
            <w:r>
              <w:rPr>
                <w:sz w:val="16"/>
              </w:rPr>
              <w:t>Supported hard-exclusion treatment for shell-bank exposure, ownership and downstream-use questions, and the rule that prohibitions execute before weighted scoring.</w:t>
            </w:r>
          </w:p>
        </w:tc>
        <w:tc>
          <w:tcPr>
            <w:tcW w:type="dxa" w:w="2570"/>
            <w:tcBorders>
              <w:top w:val="single" w:sz="6" w:color="D9E2F3"/>
              <w:left w:val="single" w:sz="6" w:color="D9E2F3"/>
              <w:bottom w:val="single" w:sz="6" w:color="D9E2F3"/>
              <w:right w:val="single" w:sz="6" w:color="D9E2F3"/>
            </w:tcBorders>
            <w:shd w:fill="F4F7FA"/>
          </w:tcPr>
          <w:p>
            <w:pPr>
              <w:spacing w:after="20"/>
            </w:pPr>
            <w:r>
              <w:rPr>
                <w:sz w:val="16"/>
              </w:rPr>
              <w:t>Represented as hard-exclusion candidates and Gate 1 determinations. Certification lifecycle, legal-process operations, and production retention were not fully implemented.</w:t>
            </w:r>
          </w:p>
        </w:tc>
      </w:tr>
      <w:tr>
        <w:tc>
          <w:tcPr>
            <w:tcW w:type="dxa" w:w="2570"/>
            <w:tcBorders>
              <w:top w:val="single" w:sz="6" w:color="D9E2F3"/>
              <w:left w:val="single" w:sz="6" w:color="D9E2F3"/>
              <w:bottom w:val="single" w:sz="6" w:color="D9E2F3"/>
              <w:right w:val="single" w:sz="6" w:color="D9E2F3"/>
            </w:tcBorders>
          </w:tcPr>
          <w:p>
            <w:pPr>
              <w:spacing w:after="20"/>
            </w:pPr>
            <w:r>
              <w:rPr>
                <w:sz w:val="16"/>
              </w:rPr>
              <w:t>FATF correspondent-banking and risk-based material</w:t>
            </w:r>
          </w:p>
        </w:tc>
        <w:tc>
          <w:tcPr>
            <w:tcW w:type="dxa" w:w="2570"/>
            <w:tcBorders>
              <w:top w:val="single" w:sz="6" w:color="D9E2F3"/>
              <w:left w:val="single" w:sz="6" w:color="D9E2F3"/>
              <w:bottom w:val="single" w:sz="6" w:color="D9E2F3"/>
              <w:right w:val="single" w:sz="6" w:color="D9E2F3"/>
            </w:tcBorders>
          </w:tcPr>
          <w:p>
            <w:pPr>
              <w:spacing w:after="20"/>
            </w:pPr>
            <w:r>
              <w:rPr>
                <w:sz w:val="16"/>
              </w:rPr>
              <w:t>It provides international AML/CFT context for respondent-bank risk, nested relationships, respondent customers, ownership, jurisdictional risk, sanctions and supervisory weaknesses, and enhanced due diligence.</w:t>
            </w:r>
          </w:p>
        </w:tc>
        <w:tc>
          <w:tcPr>
            <w:tcW w:type="dxa" w:w="2570"/>
            <w:tcBorders>
              <w:top w:val="single" w:sz="6" w:color="D9E2F3"/>
              <w:left w:val="single" w:sz="6" w:color="D9E2F3"/>
              <w:bottom w:val="single" w:sz="6" w:color="D9E2F3"/>
              <w:right w:val="single" w:sz="6" w:color="D9E2F3"/>
            </w:tcBorders>
          </w:tcPr>
          <w:p>
            <w:pPr>
              <w:spacing w:after="20"/>
            </w:pPr>
            <w:r>
              <w:rPr>
                <w:sz w:val="16"/>
              </w:rPr>
              <w:t>Helped identify risk dimensions and challenge whether a generic vendor-risk model was appropriate. It supported the move to correspondent banking, but it was not treated as a numeric scoring formula.</w:t>
            </w:r>
          </w:p>
        </w:tc>
        <w:tc>
          <w:tcPr>
            <w:tcW w:type="dxa" w:w="2570"/>
            <w:tcBorders>
              <w:top w:val="single" w:sz="6" w:color="D9E2F3"/>
              <w:left w:val="single" w:sz="6" w:color="D9E2F3"/>
              <w:bottom w:val="single" w:sz="6" w:color="D9E2F3"/>
              <w:right w:val="single" w:sz="6" w:color="D9E2F3"/>
            </w:tcBorders>
          </w:tcPr>
          <w:p>
            <w:pPr>
              <w:spacing w:after="20"/>
            </w:pPr>
            <w:r>
              <w:rPr>
                <w:sz w:val="16"/>
              </w:rPr>
              <w:t>Used for risk-factor rationale and research triangulation. Country-list automation and authoritative sanctioned-jurisdiction presence remained outside the completed MVP.</w:t>
            </w:r>
          </w:p>
        </w:tc>
      </w:tr>
      <w:tr>
        <w:tc>
          <w:tcPr>
            <w:tcW w:type="dxa" w:w="2570"/>
            <w:tcBorders>
              <w:top w:val="single" w:sz="6" w:color="D9E2F3"/>
              <w:left w:val="single" w:sz="6" w:color="D9E2F3"/>
              <w:bottom w:val="single" w:sz="6" w:color="D9E2F3"/>
              <w:right w:val="single" w:sz="6" w:color="D9E2F3"/>
            </w:tcBorders>
            <w:shd w:fill="F4F7FA"/>
          </w:tcPr>
          <w:p>
            <w:pPr>
              <w:spacing w:after="20"/>
            </w:pPr>
            <w:r>
              <w:rPr>
                <w:sz w:val="16"/>
              </w:rPr>
              <w:t>FFIEC BSA/AML examination method</w:t>
            </w:r>
          </w:p>
        </w:tc>
        <w:tc>
          <w:tcPr>
            <w:tcW w:type="dxa" w:w="2570"/>
            <w:tcBorders>
              <w:top w:val="single" w:sz="6" w:color="D9E2F3"/>
              <w:left w:val="single" w:sz="6" w:color="D9E2F3"/>
              <w:bottom w:val="single" w:sz="6" w:color="D9E2F3"/>
              <w:right w:val="single" w:sz="6" w:color="D9E2F3"/>
            </w:tcBorders>
            <w:shd w:fill="F4F7FA"/>
          </w:tcPr>
          <w:p>
            <w:pPr>
              <w:spacing w:after="20"/>
            </w:pPr>
            <w:r>
              <w:rPr>
                <w:sz w:val="16"/>
              </w:rPr>
              <w:t>It demonstrates an examiner-style way to assess inherent risk, evaluate controls, test evidence, and preserve traceability rather than relying only on a questionnaire total.</w:t>
            </w:r>
          </w:p>
        </w:tc>
        <w:tc>
          <w:tcPr>
            <w:tcW w:type="dxa" w:w="2570"/>
            <w:tcBorders>
              <w:top w:val="single" w:sz="6" w:color="D9E2F3"/>
              <w:left w:val="single" w:sz="6" w:color="D9E2F3"/>
              <w:bottom w:val="single" w:sz="6" w:color="D9E2F3"/>
              <w:right w:val="single" w:sz="6" w:color="D9E2F3"/>
            </w:tcBorders>
            <w:shd w:fill="F4F7FA"/>
          </w:tcPr>
          <w:p>
            <w:pPr>
              <w:spacing w:after="20"/>
            </w:pPr>
            <w:r>
              <w:rPr>
                <w:sz w:val="16"/>
              </w:rPr>
              <w:t>Influenced separation of inherent factors F1-F6 from control domains C1-C4, use of evidence tiers and multipliers, traceable calculation output, human review gates, and negative/boundary testing.</w:t>
            </w:r>
          </w:p>
        </w:tc>
        <w:tc>
          <w:tcPr>
            <w:tcW w:type="dxa" w:w="2570"/>
            <w:tcBorders>
              <w:top w:val="single" w:sz="6" w:color="D9E2F3"/>
              <w:left w:val="single" w:sz="6" w:color="D9E2F3"/>
              <w:bottom w:val="single" w:sz="6" w:color="D9E2F3"/>
              <w:right w:val="single" w:sz="6" w:color="D9E2F3"/>
            </w:tcBorders>
            <w:shd w:fill="F4F7FA"/>
          </w:tcPr>
          <w:p>
            <w:pPr>
              <w:spacing w:after="20"/>
            </w:pPr>
            <w:r>
              <w:rPr>
                <w:sz w:val="16"/>
              </w:rPr>
              <w:t>Adapted into a compact deterministic risk engine suitable for a hackathon. It is not represented as an official FFIEC scoring model.</w:t>
            </w:r>
          </w:p>
        </w:tc>
      </w:tr>
      <w:tr>
        <w:tc>
          <w:tcPr>
            <w:tcW w:type="dxa" w:w="2570"/>
            <w:tcBorders>
              <w:top w:val="single" w:sz="6" w:color="D9E2F3"/>
              <w:left w:val="single" w:sz="6" w:color="D9E2F3"/>
              <w:bottom w:val="single" w:sz="6" w:color="D9E2F3"/>
              <w:right w:val="single" w:sz="6" w:color="D9E2F3"/>
            </w:tcBorders>
          </w:tcPr>
          <w:p>
            <w:pPr>
              <w:spacing w:after="20"/>
            </w:pPr>
            <w:r>
              <w:rPr>
                <w:sz w:val="16"/>
              </w:rPr>
              <w:t>Wolfsberg CBDDQ V1.4</w:t>
            </w:r>
          </w:p>
        </w:tc>
        <w:tc>
          <w:tcPr>
            <w:tcW w:type="dxa" w:w="2570"/>
            <w:tcBorders>
              <w:top w:val="single" w:sz="6" w:color="D9E2F3"/>
              <w:left w:val="single" w:sz="6" w:color="D9E2F3"/>
              <w:bottom w:val="single" w:sz="6" w:color="D9E2F3"/>
              <w:right w:val="single" w:sz="6" w:color="D9E2F3"/>
            </w:tcBorders>
          </w:tcPr>
          <w:p>
            <w:pPr>
              <w:spacing w:after="20"/>
            </w:pPr>
            <w:r>
              <w:rPr>
                <w:sz w:val="16"/>
              </w:rPr>
              <w:t>It is a recognized correspondent-banking due-diligence questionnaire with stable question identifiers covering ownership, products, AML governance, sanctions, transaction monitoring, customer risk, and related controls.</w:t>
            </w:r>
          </w:p>
        </w:tc>
        <w:tc>
          <w:tcPr>
            <w:tcW w:type="dxa" w:w="2570"/>
            <w:tcBorders>
              <w:top w:val="single" w:sz="6" w:color="D9E2F3"/>
              <w:left w:val="single" w:sz="6" w:color="D9E2F3"/>
              <w:bottom w:val="single" w:sz="6" w:color="D9E2F3"/>
              <w:right w:val="single" w:sz="6" w:color="D9E2F3"/>
            </w:tcBorders>
          </w:tcPr>
          <w:p>
            <w:pPr>
              <w:spacing w:after="20"/>
            </w:pPr>
            <w:r>
              <w:rPr>
                <w:sz w:val="16"/>
              </w:rPr>
              <w:t>Became the respondent-completed source instrument and enabled field-level source references that the Validator could convert into a canonical source register.</w:t>
            </w:r>
          </w:p>
        </w:tc>
        <w:tc>
          <w:tcPr>
            <w:tcW w:type="dxa" w:w="2570"/>
            <w:tcBorders>
              <w:top w:val="single" w:sz="6" w:color="D9E2F3"/>
              <w:left w:val="single" w:sz="6" w:color="D9E2F3"/>
              <w:bottom w:val="single" w:sz="6" w:color="D9E2F3"/>
              <w:right w:val="single" w:sz="6" w:color="D9E2F3"/>
            </w:tcBorders>
          </w:tcPr>
          <w:p>
            <w:pPr>
              <w:spacing w:after="20"/>
            </w:pPr>
            <w:r>
              <w:rPr>
                <w:sz w:val="16"/>
              </w:rPr>
              <w:t>Used rather than inventing a new respondent questionnaire. The large questionnaire was narrowed to material facts and mappings needed for the selected synthetic onboarding case.</w:t>
            </w:r>
          </w:p>
        </w:tc>
      </w:tr>
      <w:tr>
        <w:tc>
          <w:tcPr>
            <w:tcW w:type="dxa" w:w="2570"/>
            <w:tcBorders>
              <w:top w:val="single" w:sz="6" w:color="D9E2F3"/>
              <w:left w:val="single" w:sz="6" w:color="D9E2F3"/>
              <w:bottom w:val="single" w:sz="6" w:color="D9E2F3"/>
              <w:right w:val="single" w:sz="6" w:color="D9E2F3"/>
            </w:tcBorders>
            <w:shd w:fill="F4F7FA"/>
          </w:tcPr>
          <w:p>
            <w:pPr>
              <w:spacing w:after="20"/>
            </w:pPr>
            <w:r>
              <w:rPr>
                <w:sz w:val="16"/>
              </w:rPr>
              <w:t>Provider Relationship Scoping Form</w:t>
            </w:r>
          </w:p>
        </w:tc>
        <w:tc>
          <w:tcPr>
            <w:tcW w:type="dxa" w:w="2570"/>
            <w:tcBorders>
              <w:top w:val="single" w:sz="6" w:color="D9E2F3"/>
              <w:left w:val="single" w:sz="6" w:color="D9E2F3"/>
              <w:bottom w:val="single" w:sz="6" w:color="D9E2F3"/>
              <w:right w:val="single" w:sz="6" w:color="D9E2F3"/>
            </w:tcBorders>
            <w:shd w:fill="F4F7FA"/>
          </w:tcPr>
          <w:p>
            <w:pPr>
              <w:spacing w:after="20"/>
            </w:pPr>
            <w:r>
              <w:rPr>
                <w:sz w:val="16"/>
              </w:rPr>
              <w:t>The regulations and CBDDQ do not let the respondent authoritatively define the provider’s intended services, permitted activity, restrictions, expected volumes/value, internal screening, evidence receipt, or relationship rationale.</w:t>
            </w:r>
          </w:p>
        </w:tc>
        <w:tc>
          <w:tcPr>
            <w:tcW w:type="dxa" w:w="2570"/>
            <w:tcBorders>
              <w:top w:val="single" w:sz="6" w:color="D9E2F3"/>
              <w:left w:val="single" w:sz="6" w:color="D9E2F3"/>
              <w:bottom w:val="single" w:sz="6" w:color="D9E2F3"/>
              <w:right w:val="single" w:sz="6" w:color="D9E2F3"/>
            </w:tcBorders>
            <w:shd w:fill="F4F7FA"/>
          </w:tcPr>
          <w:p>
            <w:pPr>
              <w:spacing w:after="20"/>
            </w:pPr>
            <w:r>
              <w:rPr>
                <w:sz w:val="16"/>
              </w:rPr>
              <w:t>Separated provider-owned facts from respondent assertions and supplied account-specific inputs for anticipated activity, restrictions, review state, and routing.</w:t>
            </w:r>
          </w:p>
        </w:tc>
        <w:tc>
          <w:tcPr>
            <w:tcW w:type="dxa" w:w="2570"/>
            <w:tcBorders>
              <w:top w:val="single" w:sz="6" w:color="D9E2F3"/>
              <w:left w:val="single" w:sz="6" w:color="D9E2F3"/>
              <w:bottom w:val="single" w:sz="6" w:color="D9E2F3"/>
              <w:right w:val="single" w:sz="6" w:color="D9E2F3"/>
            </w:tcBorders>
            <w:shd w:fill="F4F7FA"/>
          </w:tcPr>
          <w:p>
            <w:pPr>
              <w:spacing w:after="20"/>
            </w:pPr>
            <w:r>
              <w:rPr>
                <w:sz w:val="16"/>
              </w:rPr>
              <w:t>Created as a focused companion workbook for one synthetic relationship and one decision path.</w:t>
            </w:r>
          </w:p>
        </w:tc>
      </w:tr>
    </w:tbl>
    <w:p>
      <w:r>
        <w:t>MVP derivation: from the combined research, the team selected one synthetic onboarding case, two controlled intake workbooks, one semantic Intake Analyzer, one deterministic Validator and source register, three human gates, one configuration-driven scoring engine, one Gate 3 Memo Creator, and file-based evidence handoffs. Broader change types, live transaction monitoring, production integrations, formal policy approval, and scale operations were deferred. This was the smallest version that could still demonstrate source authority, fail-closed behavior, deterministic scoring, human decision boundaries, and audit evidence.</w:t>
      </w:r>
    </w:p>
    <w:p>
      <w:pPr>
        <w:pStyle w:val="Heading1"/>
      </w:pPr>
      <w:r>
        <w:t>3. Agent harness that built the solution</w:t>
      </w:r>
    </w:p>
    <w:p>
      <w:r>
        <w:rPr>
          <w:b/>
          <w:color w:val="1F7A70"/>
        </w:rPr>
        <w:t>Role-context clarification: the two Agents had different origins. Copilot Agent (Flynn) was not created specifically for this hackathon; a QA team member already used Copilot Agent (Flynn) as a Solutions Architect role player in the team’s Consulting Project. Claude Agent was created specifically to support the hackathon’s solution design and build. During the hackathon, both Agents analyzed the requirements, recommended the solution and architecture, and checked each other’s deliverables.</w:t>
      </w:r>
    </w:p>
    <w:p>
      <w:pPr/>
      <w:r>
        <w:t>The development harness used Copilot Agent (Flynn), a Solutions Architect role player used by a QA team member in the team’s Consulting Project, and Claude Agent, created specifically to help design and build the hackathon solution. Both Agents analyzed the hackathon requirements, recommended the correspondent-banking solution and control architecture, and checked the other Agent’s deliverables. Neither Agent’s recommendation was accepted solely because it was generated: conclusions were reconciled against authoritative research, project artifacts, deterministic execution, and human decisions.</w:t>
      </w:r>
    </w:p>
    <w:tbl>
      <w:tblPr>
        <w:tblStyle w:val="TableGrid"/>
        <w:tblW w:type="auto" w:w="0"/>
        <w:jc w:val="center"/>
        <w:tblLook w:firstColumn="1" w:firstRow="1" w:lastColumn="0" w:lastRow="0" w:noHBand="0" w:noVBand="1" w:val="04A0"/>
      </w:tblPr>
      <w:tblGrid>
        <w:gridCol w:w="3427"/>
        <w:gridCol w:w="3427"/>
        <w:gridCol w:w="3427"/>
      </w:tblGrid>
      <w:tr>
        <w:tc>
          <w:tcPr>
            <w:tcW w:type="dxa" w:w="2160"/>
            <w:shd w:fill="173F5F"/>
            <w:vAlign w:val="center"/>
          </w:tcPr>
          <w:p>
            <w:r>
              <w:rPr>
                <w:b/>
                <w:color w:val="FFFFFF"/>
                <w:sz w:val="17"/>
              </w:rPr>
              <w:t>Harness participant</w:t>
            </w:r>
          </w:p>
        </w:tc>
        <w:tc>
          <w:tcPr>
            <w:tcW w:type="dxa" w:w="4896"/>
            <w:shd w:fill="173F5F"/>
            <w:vAlign w:val="center"/>
          </w:tcPr>
          <w:p>
            <w:r>
              <w:rPr>
                <w:b/>
                <w:color w:val="FFFFFF"/>
                <w:sz w:val="17"/>
              </w:rPr>
              <w:t>Primary contribution</w:t>
            </w:r>
          </w:p>
        </w:tc>
        <w:tc>
          <w:tcPr>
            <w:tcW w:type="dxa" w:w="3600"/>
            <w:shd w:fill="173F5F"/>
            <w:vAlign w:val="center"/>
          </w:tcPr>
          <w:p>
            <w:r>
              <w:rPr>
                <w:b/>
                <w:color w:val="FFFFFF"/>
                <w:sz w:val="17"/>
              </w:rPr>
              <w:t>Control applied</w:t>
            </w:r>
          </w:p>
        </w:tc>
      </w:tr>
      <w:tr>
        <w:tc>
          <w:tcPr>
            <w:tcW w:type="dxa" w:w="2160"/>
            <w:vAlign w:val="top"/>
            <w:tcBorders>
              <w:top w:val="single" w:sz="6" w:color="D9E2F3"/>
              <w:left w:val="single" w:sz="6" w:color="D9E2F3"/>
              <w:bottom w:val="single" w:sz="6" w:color="D9E2F3"/>
              <w:right w:val="single" w:sz="6" w:color="D9E2F3"/>
              <w:insideH w:val="single" w:sz="6" w:color="D9E2F3"/>
              <w:insideV w:val="single" w:sz="6" w:color="D9E2F3"/>
            </w:tcBorders>
          </w:tcPr>
          <w:p>
            <w:r>
              <w:t>Copilot Agent (Flynn) - Solutions Architect role player</w:t>
            </w:r>
          </w:p>
        </w:tc>
        <w:tc>
          <w:tcPr>
            <w:tcW w:type="dxa" w:w="4896"/>
            <w:vAlign w:val="top"/>
            <w:tcBorders>
              <w:top w:val="single" w:sz="6" w:color="D9E2F3"/>
              <w:left w:val="single" w:sz="6" w:color="D9E2F3"/>
              <w:bottom w:val="single" w:sz="6" w:color="D9E2F3"/>
              <w:right w:val="single" w:sz="6" w:color="D9E2F3"/>
              <w:insideH w:val="single" w:sz="6" w:color="D9E2F3"/>
              <w:insideV w:val="single" w:sz="6" w:color="D9E2F3"/>
            </w:tcBorders>
          </w:tcPr>
          <w:p>
            <w:r>
              <w:t>Used by a QA team member in the team’s Consulting Project as a Solutions Architect role player. For the hackathon, Copilot Agent (Flynn) analyzed requirements, recommended the correspondent-banking solution and architecture, produced or refined requirements, Agent designs, QA and defect analysis, documentation and evidence, and reviewed Claude Agent deliverables.</w:t>
            </w:r>
          </w:p>
        </w:tc>
        <w:tc>
          <w:tcPr>
            <w:tcW w:type="dxa" w:w="3600"/>
            <w:vAlign w:val="top"/>
            <w:tcBorders>
              <w:top w:val="single" w:sz="6" w:color="D9E2F3"/>
              <w:left w:val="single" w:sz="6" w:color="D9E2F3"/>
              <w:bottom w:val="single" w:sz="6" w:color="D9E2F3"/>
              <w:right w:val="single" w:sz="6" w:color="D9E2F3"/>
              <w:insideH w:val="single" w:sz="6" w:color="D9E2F3"/>
              <w:insideV w:val="single" w:sz="6" w:color="D9E2F3"/>
            </w:tcBorders>
          </w:tcPr>
          <w:p>
            <w:r>
              <w:t>Claude Agent reciprocal review, authoritative research, executable contracts, Validator and scoring outputs, artifact inspection, and human decisions.</w:t>
            </w:r>
          </w:p>
        </w:tc>
      </w:tr>
      <w:tr>
        <w:tc>
          <w:tcPr>
            <w:tcW w:type="dxa" w:w="216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t>Claude - Claude Agent</w:t>
            </w:r>
          </w:p>
        </w:tc>
        <w:tc>
          <w:tcPr>
            <w:tcW w:type="dxa" w:w="4896"/>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Independent requirement interpretation and feedback; alternative analysis used to challenge assumptions and strategy</w:t>
            </w:r>
          </w:p>
        </w:tc>
        <w:tc>
          <w:tcPr>
            <w:tcW w:type="dxa" w:w="360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Advice treated as non-authoritative until reconciled against sources, runtime contracts, and tests</w:t>
            </w:r>
          </w:p>
        </w:tc>
      </w:tr>
      <w:tr>
        <w:tc>
          <w:tcPr>
            <w:tcW w:type="dxa" w:w="216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Human team</w:t>
            </w:r>
          </w:p>
        </w:tc>
        <w:tc>
          <w:tcPr>
            <w:tcW w:type="dxa" w:w="4896"/>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Scope decisions, file registration, local execution, evidence correction, Gate 1 and Gate 2 actions, and final presentation choices</w:t>
            </w:r>
          </w:p>
        </w:tc>
        <w:tc>
          <w:tcPr>
            <w:tcW w:type="dxa" w:w="360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Humans retained authority over evidence acceptance and consequential decisions</w:t>
            </w:r>
          </w:p>
        </w:tc>
      </w:tr>
      <w:tr>
        <w:tc>
          <w:tcPr>
            <w:tcW w:type="dxa" w:w="216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Deterministic toolchain</w:t>
            </w:r>
          </w:p>
        </w:tc>
        <w:tc>
          <w:tcPr>
            <w:tcW w:type="dxa" w:w="4896"/>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Workbook parsing, source-register generation, contract validation, mapping, admission, scoring, and closure logic</w:t>
            </w:r>
          </w:p>
        </w:tc>
        <w:tc>
          <w:tcPr>
            <w:tcW w:type="dxa" w:w="360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Same inputs and versions produce repeatable calculations; failures are explicit</w:t>
            </w:r>
          </w:p>
        </w:tc>
      </w:tr>
    </w:tbl>
    <w:p>
      <w:pPr>
        <w:spacing w:after="40"/>
      </w:pPr>
    </w:p>
    <w:p>
      <w:pPr>
        <w:pStyle w:val="Heading2"/>
      </w:pPr>
      <w:r>
        <w:t>3.1 Production agent harness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1944"/>
            <w:shd w:fill="173F5F"/>
            <w:vAlign w:val="center"/>
          </w:tcPr>
          <w:p>
            <w:r>
              <w:rPr>
                <w:b/>
                <w:color w:val="FFFFFF"/>
                <w:sz w:val="17"/>
              </w:rPr>
              <w:t>Component</w:t>
            </w:r>
          </w:p>
        </w:tc>
        <w:tc>
          <w:tcPr>
            <w:tcW w:type="dxa" w:w="2448"/>
            <w:shd w:fill="173F5F"/>
            <w:vAlign w:val="center"/>
          </w:tcPr>
          <w:p>
            <w:r>
              <w:rPr>
                <w:b/>
                <w:color w:val="FFFFFF"/>
                <w:sz w:val="17"/>
              </w:rPr>
              <w:t>Owns</w:t>
            </w:r>
          </w:p>
        </w:tc>
        <w:tc>
          <w:tcPr>
            <w:tcW w:type="dxa" w:w="3024"/>
            <w:shd w:fill="173F5F"/>
            <w:vAlign w:val="center"/>
          </w:tcPr>
          <w:p>
            <w:r>
              <w:rPr>
                <w:b/>
                <w:color w:val="FFFFFF"/>
                <w:sz w:val="17"/>
              </w:rPr>
              <w:t>Must not do</w:t>
            </w:r>
          </w:p>
        </w:tc>
        <w:tc>
          <w:tcPr>
            <w:tcW w:type="dxa" w:w="3456"/>
            <w:shd w:fill="173F5F"/>
            <w:vAlign w:val="center"/>
          </w:tcPr>
          <w:p>
            <w:r>
              <w:rPr>
                <w:b/>
                <w:color w:val="FFFFFF"/>
                <w:sz w:val="17"/>
              </w:rPr>
              <w:t>Proof boundary</w:t>
            </w:r>
          </w:p>
        </w:tc>
      </w:tr>
      <w:tr>
        <w:tc>
          <w:tcPr>
            <w:tcW w:type="dxa" w:w="1944"/>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Copilot Intake Analyzer</w:t>
            </w:r>
          </w:p>
        </w:tc>
        <w:tc>
          <w:tcPr>
            <w:tcW w:type="dxa" w:w="2448"/>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Semantic interpretation, evidence status, candidate facts, exceptions, Draft Gate 1 material</w:t>
            </w:r>
          </w:p>
        </w:tc>
        <w:tc>
          <w:tcPr>
            <w:tcW w:type="dxa" w:w="3024"/>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Official scoring, approval, false validation claims</w:t>
            </w:r>
          </w:p>
        </w:tc>
        <w:tc>
          <w:tcPr>
            <w:tcW w:type="dxa" w:w="3456"/>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Node validator independently confirms sources, counts, versions, references, and prohibited outputs</w:t>
            </w:r>
          </w:p>
        </w:tc>
      </w:tr>
      <w:tr>
        <w:tc>
          <w:tcPr>
            <w:tcW w:type="dxa" w:w="1944"/>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Node.js Validator</w:t>
            </w:r>
          </w:p>
        </w:tc>
        <w:tc>
          <w:tcPr>
            <w:tcW w:type="dxa" w:w="2448"/>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Exhaustive source register and 17 contract checks</w:t>
            </w:r>
          </w:p>
        </w:tc>
        <w:tc>
          <w:tcPr>
            <w:tcW w:type="dxa" w:w="3024"/>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Business approval</w:t>
            </w:r>
          </w:p>
        </w:tc>
        <w:tc>
          <w:tcPr>
            <w:tcW w:type="dxa" w:w="3456"/>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Validator PASS permits review but does not authorize scoring</w:t>
            </w:r>
          </w:p>
        </w:tc>
      </w:tr>
      <w:tr>
        <w:tc>
          <w:tcPr>
            <w:tcW w:type="dxa" w:w="1944"/>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Gate 1 human</w:t>
            </w:r>
          </w:p>
        </w:tc>
        <w:tc>
          <w:tcPr>
            <w:tcW w:type="dxa" w:w="2448"/>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Evidence acceptance, exception and hard-exclusion resolution</w:t>
            </w:r>
          </w:p>
        </w:tc>
        <w:tc>
          <w:tcPr>
            <w:tcW w:type="dxa" w:w="3024"/>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Bypass unresolved blockers</w:t>
            </w:r>
          </w:p>
        </w:tc>
        <w:tc>
          <w:tcPr>
            <w:tcW w:type="dxa" w:w="3456"/>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Decision IDs, reviewer, status, and determination source retained</w:t>
            </w:r>
          </w:p>
        </w:tc>
      </w:tr>
      <w:tr>
        <w:tc>
          <w:tcPr>
            <w:tcW w:type="dxa" w:w="1944"/>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Node.js Scoring Engine</w:t>
            </w:r>
          </w:p>
        </w:tc>
        <w:tc>
          <w:tcPr>
            <w:tcW w:type="dxa" w:w="2448"/>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Admission, mappings, weights, multipliers, floor, bands, hard exclusions</w:t>
            </w:r>
          </w:p>
        </w:tc>
        <w:tc>
          <w:tcPr>
            <w:tcW w:type="dxa" w:w="3024"/>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Relationship approval or narrative invention</w:t>
            </w:r>
          </w:p>
        </w:tc>
        <w:tc>
          <w:tcPr>
            <w:tcW w:type="dxa" w:w="3456"/>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Official result only after READY and AUTHORISED states</w:t>
            </w:r>
          </w:p>
        </w:tc>
      </w:tr>
      <w:tr>
        <w:tc>
          <w:tcPr>
            <w:tcW w:type="dxa" w:w="1944"/>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Gate 2 human</w:t>
            </w:r>
          </w:p>
        </w:tc>
        <w:tc>
          <w:tcPr>
            <w:tcW w:type="dxa" w:w="2448"/>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Accept, condition, remand, override with reason, or escalate</w:t>
            </w:r>
          </w:p>
        </w:tc>
        <w:tc>
          <w:tcPr>
            <w:tcW w:type="dxa" w:w="3024"/>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Erase original machine result</w:t>
            </w:r>
          </w:p>
        </w:tc>
        <w:tc>
          <w:tcPr>
            <w:tcW w:type="dxa" w:w="3456"/>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Disposition and rationale retained</w:t>
            </w:r>
          </w:p>
        </w:tc>
      </w:tr>
      <w:tr>
        <w:tc>
          <w:tcPr>
            <w:tcW w:type="dxa" w:w="1944"/>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Copilot Gate 3 Memo Creator</w:t>
            </w:r>
          </w:p>
        </w:tc>
        <w:tc>
          <w:tcPr>
            <w:tcW w:type="dxa" w:w="2448"/>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Exact-copy explanation, executive memo, quality self-check, demo HTML</w:t>
            </w:r>
          </w:p>
        </w:tc>
        <w:tc>
          <w:tcPr>
            <w:tcW w:type="dxa" w:w="3024"/>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Recalculate score, prepopulate decision, save or submit</w:t>
            </w:r>
          </w:p>
        </w:tc>
        <w:tc>
          <w:tcPr>
            <w:tcW w:type="dxa" w:w="3456"/>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Memo quality and blank committee controls</w:t>
            </w:r>
          </w:p>
        </w:tc>
      </w:tr>
      <w:tr>
        <w:tc>
          <w:tcPr>
            <w:tcW w:type="dxa" w:w="1944"/>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Gate 3 committee</w:t>
            </w:r>
          </w:p>
        </w:tc>
        <w:tc>
          <w:tcPr>
            <w:tcW w:type="dxa" w:w="2448"/>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Consequential decision</w:t>
            </w:r>
          </w:p>
        </w:tc>
        <w:tc>
          <w:tcPr>
            <w:tcW w:type="dxa" w:w="3024"/>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Delegate authority to agent</w:t>
            </w:r>
          </w:p>
        </w:tc>
        <w:tc>
          <w:tcPr>
            <w:tcW w:type="dxa" w:w="3456"/>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Decision remains blank until human action</w:t>
            </w:r>
          </w:p>
        </w:tc>
      </w:tr>
    </w:tbl>
    <w:p>
      <w:pPr>
        <w:spacing w:after="40"/>
      </w:pPr>
    </w:p>
    <w:p>
      <w:pPr>
        <w:pStyle w:val="Heading1"/>
      </w:pPr>
      <w:r>
        <w:t>4. Proof across the development lifecycle</w:t>
      </w:r>
    </w:p>
    <w:tbl>
      <w:tblPr>
        <w:tblStyle w:val="TableGrid"/>
        <w:tblW w:type="auto" w:w="0"/>
        <w:jc w:val="center"/>
        <w:tblLook w:firstColumn="1" w:firstRow="1" w:lastColumn="0" w:lastRow="0" w:noHBand="0" w:noVBand="1" w:val="04A0"/>
      </w:tblPr>
      <w:tblGrid>
        <w:gridCol w:w="3427"/>
        <w:gridCol w:w="3427"/>
        <w:gridCol w:w="3427"/>
      </w:tblGrid>
      <w:tr>
        <w:tc>
          <w:tcPr>
            <w:tcW w:type="dxa" w:w="1440"/>
            <w:shd w:fill="173F5F"/>
            <w:vAlign w:val="center"/>
          </w:tcPr>
          <w:p>
            <w:r>
              <w:rPr>
                <w:b/>
                <w:color w:val="FFFFFF"/>
                <w:sz w:val="17"/>
              </w:rPr>
              <w:t>Stage</w:t>
            </w:r>
          </w:p>
        </w:tc>
        <w:tc>
          <w:tcPr>
            <w:tcW w:type="dxa" w:w="4896"/>
            <w:shd w:fill="173F5F"/>
            <w:vAlign w:val="center"/>
          </w:tcPr>
          <w:p>
            <w:r>
              <w:rPr>
                <w:b/>
                <w:color w:val="FFFFFF"/>
                <w:sz w:val="17"/>
              </w:rPr>
              <w:t>What was done</w:t>
            </w:r>
          </w:p>
        </w:tc>
        <w:tc>
          <w:tcPr>
            <w:tcW w:type="dxa" w:w="4320"/>
            <w:shd w:fill="173F5F"/>
            <w:vAlign w:val="center"/>
          </w:tcPr>
          <w:p>
            <w:r>
              <w:rPr>
                <w:b/>
                <w:color w:val="FFFFFF"/>
                <w:sz w:val="17"/>
              </w:rPr>
              <w:t>Primary evidence</w:t>
            </w:r>
          </w:p>
        </w:tc>
      </w:tr>
      <w:tr>
        <w:tc>
          <w:tcPr>
            <w:tcW w:type="dxa" w:w="144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DISCOVER</w:t>
            </w:r>
          </w:p>
        </w:tc>
        <w:tc>
          <w:tcPr>
            <w:tcW w:type="dxa" w:w="4896"/>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Research, initial vendor framing, source evaluation, and use-case narrowing</w:t>
            </w:r>
          </w:p>
        </w:tc>
        <w:tc>
          <w:tcPr>
            <w:tcW w:type="dxa" w:w="432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Derivation executive summary; rejected-source rationale</w:t>
            </w:r>
          </w:p>
        </w:tc>
      </w:tr>
      <w:tr>
        <w:tc>
          <w:tcPr>
            <w:tcW w:type="dxa" w:w="144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DEFINE</w:t>
            </w:r>
          </w:p>
        </w:tc>
        <w:tc>
          <w:tcPr>
            <w:tcW w:type="dxa" w:w="4896"/>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45 requirements with Built, Partial, Deferred, and Open statuses; assumptions marked</w:t>
            </w:r>
          </w:p>
        </w:tc>
        <w:tc>
          <w:tcPr>
            <w:tcW w:type="dxa" w:w="432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Expanded Requirements and MVP Traceability</w:t>
            </w:r>
          </w:p>
        </w:tc>
      </w:tr>
      <w:tr>
        <w:tc>
          <w:tcPr>
            <w:tcW w:type="dxa" w:w="144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DESIGN</w:t>
            </w:r>
          </w:p>
        </w:tc>
        <w:tc>
          <w:tcPr>
            <w:tcW w:type="dxa" w:w="4896"/>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Probabilistic, deterministic, and human responsibilities separated; three gates placed at weakest machine points</w:t>
            </w:r>
          </w:p>
        </w:tc>
        <w:tc>
          <w:tcPr>
            <w:tcW w:type="dxa" w:w="432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Architecture summaries; agent boundaries; output contracts</w:t>
            </w:r>
          </w:p>
        </w:tc>
      </w:tr>
      <w:tr>
        <w:tc>
          <w:tcPr>
            <w:tcW w:type="dxa" w:w="144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BUILD</w:t>
            </w:r>
          </w:p>
        </w:tc>
        <w:tc>
          <w:tcPr>
            <w:tcW w:type="dxa" w:w="4896"/>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Intake Agent, validator, scoring engine, Gate 2 artifacts, Memo Creator, demo HTML, closure design</w:t>
            </w:r>
          </w:p>
        </w:tc>
        <w:tc>
          <w:tcPr>
            <w:tcW w:type="dxa" w:w="432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Component files and generated packets described in evaluation records</w:t>
            </w:r>
          </w:p>
        </w:tc>
      </w:tr>
      <w:tr>
        <w:tc>
          <w:tcPr>
            <w:tcW w:type="dxa" w:w="144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TEST</w:t>
            </w:r>
          </w:p>
        </w:tc>
        <w:tc>
          <w:tcPr>
            <w:tcW w:type="dxa" w:w="4896"/>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Positive, negative, contract, integration, arithmetic, security-side-effect, and recovery tests</w:t>
            </w:r>
          </w:p>
        </w:tc>
        <w:tc>
          <w:tcPr>
            <w:tcW w:type="dxa" w:w="432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Four test-evaluation records; 20 detailed final-path cases; validator and runtime logs</w:t>
            </w:r>
          </w:p>
        </w:tc>
      </w:tr>
      <w:tr>
        <w:tc>
          <w:tcPr>
            <w:tcW w:type="dxa" w:w="144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REVIEW</w:t>
            </w:r>
          </w:p>
        </w:tc>
        <w:tc>
          <w:tcPr>
            <w:tcW w:type="dxa" w:w="4896"/>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Human Gate 1, Gate 2, and blank Gate 3 decision control</w:t>
            </w:r>
          </w:p>
        </w:tc>
        <w:tc>
          <w:tcPr>
            <w:tcW w:type="dxa" w:w="432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Decision JSON, Gate 2 workbook, Gate 3 packet</w:t>
            </w:r>
          </w:p>
        </w:tc>
      </w:tr>
      <w:tr>
        <w:tc>
          <w:tcPr>
            <w:tcW w:type="dxa" w:w="144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IMPROVE</w:t>
            </w:r>
          </w:p>
        </w:tc>
        <w:tc>
          <w:tcPr>
            <w:tcW w:type="dxa" w:w="4896"/>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Mapping, extractor, JSON contract, version, evidence-state, and naming corrections</w:t>
            </w:r>
          </w:p>
        </w:tc>
        <w:tc>
          <w:tcPr>
            <w:tcW w:type="dxa" w:w="432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Defect registers and PASS-after-retest evidence</w:t>
            </w:r>
          </w:p>
        </w:tc>
      </w:tr>
      <w:tr>
        <w:tc>
          <w:tcPr>
            <w:tcW w:type="dxa" w:w="144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MAINTAIN</w:t>
            </w:r>
          </w:p>
        </w:tc>
        <w:tc>
          <w:tcPr>
            <w:tcW w:type="dxa" w:w="4896"/>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Version capture, artifacts, hashes, regression recommendations, and production gap list</w:t>
            </w:r>
          </w:p>
        </w:tc>
        <w:tc>
          <w:tcPr>
            <w:tcW w:type="dxa" w:w="432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Token analysis, closure design, recommended automated regression pack</w:t>
            </w:r>
          </w:p>
        </w:tc>
      </w:tr>
    </w:tbl>
    <w:p>
      <w:pPr>
        <w:spacing w:after="40"/>
      </w:pPr>
    </w:p>
    <w:p>
      <w:pPr>
        <w:pStyle w:val="Heading1"/>
      </w:pPr>
      <w:r>
        <w:t>5. Deterministic scoring and evaluation evidence</w:t>
      </w:r>
    </w:p>
    <w:p>
      <w:r>
        <w:t>The official score is not generated by a language model. The agent prepares traceable facts; a human authorizes inputs; Node.js performs admission and calculation; humans review the result.</w:t>
      </w:r>
    </w:p>
    <w:p>
      <w:pPr>
        <w:pStyle w:val="Heading2"/>
      </w:pPr>
      <w:r>
        <w:t>5.1 Final scoring trace</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1008"/>
            <w:shd w:fill="173F5F"/>
            <w:vAlign w:val="center"/>
          </w:tcPr>
          <w:p>
            <w:r>
              <w:rPr>
                <w:b/>
                <w:color w:val="FFFFFF"/>
                <w:sz w:val="17"/>
              </w:rPr>
              <w:t>Factor</w:t>
            </w:r>
          </w:p>
        </w:tc>
        <w:tc>
          <w:tcPr>
            <w:tcW w:type="dxa" w:w="1008"/>
            <w:shd w:fill="173F5F"/>
            <w:vAlign w:val="center"/>
          </w:tcPr>
          <w:p>
            <w:r>
              <w:rPr>
                <w:b/>
                <w:color w:val="FFFFFF"/>
                <w:sz w:val="17"/>
              </w:rPr>
              <w:t>Anchor</w:t>
            </w:r>
          </w:p>
        </w:tc>
        <w:tc>
          <w:tcPr>
            <w:tcW w:type="dxa" w:w="1152"/>
            <w:shd w:fill="173F5F"/>
            <w:vAlign w:val="center"/>
          </w:tcPr>
          <w:p>
            <w:r>
              <w:rPr>
                <w:b/>
                <w:color w:val="FFFFFF"/>
                <w:sz w:val="17"/>
              </w:rPr>
              <w:t>Weight</w:t>
            </w:r>
          </w:p>
        </w:tc>
        <w:tc>
          <w:tcPr>
            <w:tcW w:type="dxa" w:w="1440"/>
            <w:shd w:fill="173F5F"/>
            <w:vAlign w:val="center"/>
          </w:tcPr>
          <w:p>
            <w:r>
              <w:rPr>
                <w:b/>
                <w:color w:val="FFFFFF"/>
                <w:sz w:val="17"/>
              </w:rPr>
              <w:t>Contribution</w:t>
            </w:r>
          </w:p>
        </w:tc>
        <w:tc>
          <w:tcPr>
            <w:tcW w:type="dxa" w:w="3312"/>
            <w:shd w:fill="173F5F"/>
            <w:vAlign w:val="center"/>
          </w:tcPr>
          <w:p>
            <w:r>
              <w:rPr>
                <w:b/>
                <w:color w:val="FFFFFF"/>
                <w:sz w:val="17"/>
              </w:rPr>
              <w:t>Evidence</w:t>
            </w:r>
          </w:p>
        </w:tc>
      </w:tr>
      <w:tr>
        <w:tc>
          <w:tcPr>
            <w:tcW w:type="dxa" w:w="1008"/>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F1</w:t>
            </w:r>
          </w:p>
        </w:tc>
        <w:tc>
          <w:tcPr>
            <w:tcW w:type="dxa" w:w="1008"/>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6</w:t>
            </w:r>
          </w:p>
        </w:tc>
        <w:tc>
          <w:tcPr>
            <w:tcW w:type="dxa" w:w="1152"/>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20</w:t>
            </w:r>
          </w:p>
        </w:tc>
        <w:tc>
          <w:tcPr>
            <w:tcW w:type="dxa" w:w="144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12.00</w:t>
            </w:r>
          </w:p>
        </w:tc>
        <w:tc>
          <w:tcPr>
            <w:tcW w:type="dxa" w:w="3312"/>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SRC-CBDDQ-2</w:t>
            </w:r>
          </w:p>
        </w:tc>
      </w:tr>
      <w:tr>
        <w:tc>
          <w:tcPr>
            <w:tcW w:type="dxa" w:w="1008"/>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F2</w:t>
            </w:r>
          </w:p>
        </w:tc>
        <w:tc>
          <w:tcPr>
            <w:tcW w:type="dxa" w:w="1008"/>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10</w:t>
            </w:r>
          </w:p>
        </w:tc>
        <w:tc>
          <w:tcPr>
            <w:tcW w:type="dxa" w:w="1152"/>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15</w:t>
            </w:r>
          </w:p>
        </w:tc>
        <w:tc>
          <w:tcPr>
            <w:tcW w:type="dxa" w:w="144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15.00</w:t>
            </w:r>
          </w:p>
        </w:tc>
        <w:tc>
          <w:tcPr>
            <w:tcW w:type="dxa" w:w="3312"/>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SRC-CBDDQ-13</w:t>
            </w:r>
          </w:p>
        </w:tc>
      </w:tr>
      <w:tr>
        <w:tc>
          <w:tcPr>
            <w:tcW w:type="dxa" w:w="1008"/>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F3</w:t>
            </w:r>
          </w:p>
        </w:tc>
        <w:tc>
          <w:tcPr>
            <w:tcW w:type="dxa" w:w="1008"/>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3</w:t>
            </w:r>
          </w:p>
        </w:tc>
        <w:tc>
          <w:tcPr>
            <w:tcW w:type="dxa" w:w="1152"/>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20</w:t>
            </w:r>
          </w:p>
        </w:tc>
        <w:tc>
          <w:tcPr>
            <w:tcW w:type="dxa" w:w="144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6.00</w:t>
            </w:r>
          </w:p>
        </w:tc>
        <w:tc>
          <w:tcPr>
            <w:tcW w:type="dxa" w:w="3312"/>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SRC-CBDDQ-6</w:t>
            </w:r>
          </w:p>
        </w:tc>
      </w:tr>
      <w:tr>
        <w:tc>
          <w:tcPr>
            <w:tcW w:type="dxa" w:w="1008"/>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F4</w:t>
            </w:r>
          </w:p>
        </w:tc>
        <w:tc>
          <w:tcPr>
            <w:tcW w:type="dxa" w:w="1008"/>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0</w:t>
            </w:r>
          </w:p>
        </w:tc>
        <w:tc>
          <w:tcPr>
            <w:tcW w:type="dxa" w:w="1152"/>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10</w:t>
            </w:r>
          </w:p>
        </w:tc>
        <w:tc>
          <w:tcPr>
            <w:tcW w:type="dxa" w:w="144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0.00</w:t>
            </w:r>
          </w:p>
        </w:tc>
        <w:tc>
          <w:tcPr>
            <w:tcW w:type="dxa" w:w="3312"/>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SRC-CBDDQ-17</w:t>
            </w:r>
          </w:p>
        </w:tc>
      </w:tr>
      <w:tr>
        <w:tc>
          <w:tcPr>
            <w:tcW w:type="dxa" w:w="1008"/>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F5</w:t>
            </w:r>
          </w:p>
        </w:tc>
        <w:tc>
          <w:tcPr>
            <w:tcW w:type="dxa" w:w="1008"/>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10</w:t>
            </w:r>
          </w:p>
        </w:tc>
        <w:tc>
          <w:tcPr>
            <w:tcW w:type="dxa" w:w="1152"/>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25</w:t>
            </w:r>
          </w:p>
        </w:tc>
        <w:tc>
          <w:tcPr>
            <w:tcW w:type="dxa" w:w="144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25.00</w:t>
            </w:r>
          </w:p>
        </w:tc>
        <w:tc>
          <w:tcPr>
            <w:tcW w:type="dxa" w:w="3312"/>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SRC-CBDDQ-19</w:t>
            </w:r>
          </w:p>
        </w:tc>
      </w:tr>
      <w:tr>
        <w:tc>
          <w:tcPr>
            <w:tcW w:type="dxa" w:w="1008"/>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F6</w:t>
            </w:r>
          </w:p>
        </w:tc>
        <w:tc>
          <w:tcPr>
            <w:tcW w:type="dxa" w:w="1008"/>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6</w:t>
            </w:r>
          </w:p>
        </w:tc>
        <w:tc>
          <w:tcPr>
            <w:tcW w:type="dxa" w:w="1152"/>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10</w:t>
            </w:r>
          </w:p>
        </w:tc>
        <w:tc>
          <w:tcPr>
            <w:tcW w:type="dxa" w:w="144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6.00</w:t>
            </w:r>
          </w:p>
        </w:tc>
        <w:tc>
          <w:tcPr>
            <w:tcW w:type="dxa" w:w="3312"/>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SRC-SCOPE-S23</w:t>
            </w:r>
          </w:p>
        </w:tc>
      </w:tr>
      <w:tr>
        <w:tc>
          <w:tcPr>
            <w:tcW w:type="dxa" w:w="1008"/>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Total</w:t>
            </w:r>
          </w:p>
        </w:tc>
        <w:tc>
          <w:tcPr>
            <w:tcW w:type="dxa" w:w="1008"/>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r>
          </w:p>
        </w:tc>
        <w:tc>
          <w:tcPr>
            <w:tcW w:type="dxa" w:w="1152"/>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r>
          </w:p>
        </w:tc>
        <w:tc>
          <w:tcPr>
            <w:tcW w:type="dxa" w:w="144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64.00</w:t>
            </w:r>
          </w:p>
        </w:tc>
        <w:tc>
          <w:tcPr>
            <w:tcW w:type="dxa" w:w="3312"/>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r>
          </w:p>
        </w:tc>
      </w:tr>
    </w:tbl>
    <w:p>
      <w:pPr>
        <w:spacing w:after="40"/>
      </w:pPr>
    </w:p>
    <w:p>
      <w:r>
        <w:t>All four control domains were classified as “Self-asserted only” with multiplier 0.94. Their combined multiplier was 0.7807. The official calculation was 64.00 × 0.7807 = 49.97. The 20% floor was 12.80 and did not bind. The final band was High, requiring Gate 3 committee review.</w:t>
      </w:r>
    </w:p>
    <w:p>
      <w:pPr>
        <w:pStyle w:val="Heading2"/>
      </w:pPr>
      <w:r>
        <w:t>5.2 Evaluation layers</w:t>
      </w:r>
    </w:p>
    <w:tbl>
      <w:tblPr>
        <w:tblStyle w:val="TableGrid"/>
        <w:tblW w:type="auto" w:w="0"/>
        <w:jc w:val="center"/>
        <w:tblLook w:firstColumn="1" w:firstRow="1" w:lastColumn="0" w:lastRow="0" w:noHBand="0" w:noVBand="1" w:val="04A0"/>
      </w:tblPr>
      <w:tblGrid>
        <w:gridCol w:w="3427"/>
        <w:gridCol w:w="3427"/>
        <w:gridCol w:w="3427"/>
      </w:tblGrid>
      <w:tr>
        <w:tc>
          <w:tcPr>
            <w:tcW w:type="dxa" w:w="2160"/>
            <w:shd w:fill="173F5F"/>
            <w:vAlign w:val="center"/>
          </w:tcPr>
          <w:p>
            <w:r>
              <w:rPr>
                <w:b/>
                <w:color w:val="FFFFFF"/>
                <w:sz w:val="17"/>
              </w:rPr>
              <w:t>Evaluation layer</w:t>
            </w:r>
          </w:p>
        </w:tc>
        <w:tc>
          <w:tcPr>
            <w:tcW w:type="dxa" w:w="6048"/>
            <w:shd w:fill="173F5F"/>
            <w:vAlign w:val="center"/>
          </w:tcPr>
          <w:p>
            <w:r>
              <w:rPr>
                <w:b/>
                <w:color w:val="FFFFFF"/>
                <w:sz w:val="17"/>
              </w:rPr>
              <w:t>Evidence</w:t>
            </w:r>
          </w:p>
        </w:tc>
        <w:tc>
          <w:tcPr>
            <w:tcW w:type="dxa" w:w="1728"/>
            <w:shd w:fill="173F5F"/>
            <w:vAlign w:val="center"/>
          </w:tcPr>
          <w:p>
            <w:r>
              <w:rPr>
                <w:b/>
                <w:color w:val="FFFFFF"/>
                <w:sz w:val="17"/>
              </w:rPr>
              <w:t>Status</w:t>
            </w:r>
          </w:p>
        </w:tc>
      </w:tr>
      <w:tr>
        <w:tc>
          <w:tcPr>
            <w:tcW w:type="dxa" w:w="216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Package validation</w:t>
            </w:r>
          </w:p>
        </w:tc>
        <w:tc>
          <w:tcPr>
            <w:tcW w:type="dxa" w:w="6048"/>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17 checks; later positive-path package PASS and Gate 1 review ALLOWED</w:t>
            </w:r>
          </w:p>
        </w:tc>
        <w:tc>
          <w:tcPr>
            <w:tcW w:type="dxa" w:w="1728"/>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Executed</w:t>
            </w:r>
          </w:p>
        </w:tc>
      </w:tr>
      <w:tr>
        <w:tc>
          <w:tcPr>
            <w:tcW w:type="dxa" w:w="216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Source traceability</w:t>
            </w:r>
          </w:p>
        </w:tc>
        <w:tc>
          <w:tcPr>
            <w:tcW w:type="dxa" w:w="6048"/>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201 canonical source-register records in earlier validator evidence; final F1-F6 and C1-C4 references</w:t>
            </w:r>
          </w:p>
        </w:tc>
        <w:tc>
          <w:tcPr>
            <w:tcW w:type="dxa" w:w="1728"/>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Executed / artifact verified</w:t>
            </w:r>
          </w:p>
        </w:tc>
      </w:tr>
      <w:tr>
        <w:tc>
          <w:tcPr>
            <w:tcW w:type="dxa" w:w="216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Final integrated path</w:t>
            </w:r>
          </w:p>
        </w:tc>
        <w:tc>
          <w:tcPr>
            <w:tcW w:type="dxa" w:w="6048"/>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20 detailed cases covering failure, correction, recovery, scoring, routing, and decision boundaries</w:t>
            </w:r>
          </w:p>
        </w:tc>
        <w:tc>
          <w:tcPr>
            <w:tcW w:type="dxa" w:w="1728"/>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PASS</w:t>
            </w:r>
          </w:p>
        </w:tc>
      </w:tr>
      <w:tr>
        <w:tc>
          <w:tcPr>
            <w:tcW w:type="dxa" w:w="216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Arithmetic</w:t>
            </w:r>
          </w:p>
        </w:tc>
        <w:tc>
          <w:tcPr>
            <w:tcW w:type="dxa" w:w="6048"/>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64.00 inherent, 0.7807 multiplier, 49.97 residual, floor not applied</w:t>
            </w:r>
          </w:p>
        </w:tc>
        <w:tc>
          <w:tcPr>
            <w:tcW w:type="dxa" w:w="1728"/>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Executed and reconciled</w:t>
            </w:r>
          </w:p>
        </w:tc>
      </w:tr>
      <w:tr>
        <w:tc>
          <w:tcPr>
            <w:tcW w:type="dxa" w:w="216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Gate 3 content</w:t>
            </w:r>
          </w:p>
        </w:tc>
        <w:tc>
          <w:tcPr>
            <w:tcW w:type="dxa" w:w="6048"/>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16 required memo sections; memo-quality self-check PASS</w:t>
            </w:r>
          </w:p>
        </w:tc>
        <w:tc>
          <w:tcPr>
            <w:tcW w:type="dxa" w:w="1728"/>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Executed / inspected</w:t>
            </w:r>
          </w:p>
        </w:tc>
      </w:tr>
      <w:tr>
        <w:tc>
          <w:tcPr>
            <w:tcW w:type="dxa" w:w="216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HTML side effects</w:t>
            </w:r>
          </w:p>
        </w:tc>
        <w:tc>
          <w:tcPr>
            <w:tcW w:type="dxa" w:w="6048"/>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No backend, fetch, storage, network, or submission behavior</w:t>
            </w:r>
          </w:p>
        </w:tc>
        <w:tc>
          <w:tcPr>
            <w:tcW w:type="dxa" w:w="1728"/>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Implementation inspection</w:t>
            </w:r>
          </w:p>
        </w:tc>
      </w:tr>
      <w:tr>
        <w:tc>
          <w:tcPr>
            <w:tcW w:type="dxa" w:w="216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Historical broader suite</w:t>
            </w:r>
          </w:p>
        </w:tc>
        <w:tc>
          <w:tcPr>
            <w:tcW w:type="dxa" w:w="6048"/>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65 tests across six files and 500 repeated runs reported in earlier project evidence</w:t>
            </w:r>
          </w:p>
        </w:tc>
        <w:tc>
          <w:tcPr>
            <w:tcW w:type="dxa" w:w="1728"/>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Reported evidence; preserve supporting logs for panel</w:t>
            </w:r>
          </w:p>
        </w:tc>
      </w:tr>
      <w:tr>
        <w:tc>
          <w:tcPr>
            <w:tcW w:type="dxa" w:w="216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Artifact compatibility</w:t>
            </w:r>
          </w:p>
        </w:tc>
        <w:tc>
          <w:tcPr>
            <w:tcW w:type="dxa" w:w="6048"/>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Gate 1 and Gate 2 fixtures recorded valid with zero errors/warnings and SHA-256 values</w:t>
            </w:r>
          </w:p>
        </w:tc>
        <w:tc>
          <w:tcPr>
            <w:tcW w:type="dxa" w:w="1728"/>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Executed in evaluation record</w:t>
            </w:r>
          </w:p>
        </w:tc>
      </w:tr>
    </w:tbl>
    <w:p>
      <w:pPr>
        <w:spacing w:after="40"/>
      </w:pPr>
    </w:p>
    <w:tbl>
      <w:tblPr>
        <w:tblW w:type="auto" w:w="0"/>
        <w:jc w:val="center"/>
        <w:tblLook w:firstColumn="1" w:firstRow="1" w:lastColumn="0" w:lastRow="0" w:noHBand="0" w:noVBand="1" w:val="04A0"/>
      </w:tblPr>
      <w:tblGrid>
        <w:gridCol w:w="10282"/>
      </w:tblGrid>
      <w:tr>
        <w:tc>
          <w:tcPr>
            <w:tcW w:type="dxa" w:w="10282"/>
            <w:shd w:fill="EAF4F2"/>
            <w:tcBorders>
              <w:top w:val="single" w:sz="6" w:color="1F7A70"/>
              <w:left w:val="single" w:sz="6" w:color="1F7A70"/>
              <w:bottom w:val="single" w:sz="6" w:color="1F7A70"/>
              <w:right w:val="single" w:sz="6" w:color="1F7A70"/>
              <w:insideH w:val="single" w:sz="6" w:color="1F7A70"/>
              <w:insideV w:val="single" w:sz="6" w:color="1F7A70"/>
            </w:tcBorders>
          </w:tcPr>
          <w:p>
            <w:r>
              <w:rPr>
                <w:b/>
                <w:color w:val="1F7A70"/>
              </w:rPr>
              <w:t xml:space="preserve">EVIDENCE DISCIPLINE  </w:t>
            </w:r>
            <w:r>
              <w:t>Executed behavior, implementation inspection, earlier reported evidence, designed tests, and production claims remain separate. The final positive-path record supersedes the earlier blocked workflow state but does not erase the defect history.</w:t>
            </w:r>
          </w:p>
        </w:tc>
      </w:tr>
    </w:tbl>
    <w:p>
      <w:pPr>
        <w:spacing w:after="20"/>
      </w:pPr>
    </w:p>
    <w:p>
      <w:pPr>
        <w:pStyle w:val="Heading1"/>
      </w:pPr>
      <w:r>
        <w:t>6. Token use for the whole hackathon</w:t>
      </w:r>
    </w:p>
    <w:p>
      <w:r>
        <w:t>Microsoft 365 Copilot did not expose authoritative hidden-token telemetry, retrieval payloads, compaction, retries, or exact tokenizer counts. The project therefore uses transparent engineering estimates rather than claiming billed or platform-authoritative tokens.</w:t>
      </w:r>
    </w:p>
    <w:tbl>
      <w:tblPr>
        <w:tblStyle w:val="TableGrid"/>
        <w:tblW w:type="auto" w:w="0"/>
        <w:jc w:val="center"/>
        <w:tblLook w:firstColumn="1" w:firstRow="1" w:lastColumn="0" w:lastRow="0" w:noHBand="0" w:noVBand="1" w:val="04A0"/>
      </w:tblPr>
      <w:tblGrid>
        <w:gridCol w:w="3427"/>
        <w:gridCol w:w="3427"/>
        <w:gridCol w:w="3427"/>
      </w:tblGrid>
      <w:tr>
        <w:tc>
          <w:tcPr>
            <w:tcW w:type="dxa" w:w="3312"/>
            <w:shd w:fill="173F5F"/>
            <w:vAlign w:val="center"/>
          </w:tcPr>
          <w:p>
            <w:r>
              <w:rPr>
                <w:b/>
                <w:color w:val="FFFFFF"/>
                <w:sz w:val="17"/>
              </w:rPr>
              <w:t>Work category</w:t>
            </w:r>
          </w:p>
        </w:tc>
        <w:tc>
          <w:tcPr>
            <w:tcW w:type="dxa" w:w="2016"/>
            <w:shd w:fill="173F5F"/>
            <w:vAlign w:val="center"/>
          </w:tcPr>
          <w:p>
            <w:r>
              <w:rPr>
                <w:b/>
                <w:color w:val="FFFFFF"/>
                <w:sz w:val="17"/>
              </w:rPr>
              <w:t>Estimated model tokens</w:t>
            </w:r>
          </w:p>
        </w:tc>
        <w:tc>
          <w:tcPr>
            <w:tcW w:type="dxa" w:w="4320"/>
            <w:shd w:fill="173F5F"/>
            <w:vAlign w:val="center"/>
          </w:tcPr>
          <w:p>
            <w:r>
              <w:rPr>
                <w:b/>
                <w:color w:val="FFFFFF"/>
                <w:sz w:val="17"/>
              </w:rPr>
              <w:t>Basis</w:t>
            </w:r>
          </w:p>
        </w:tc>
      </w:tr>
      <w:tr>
        <w:tc>
          <w:tcPr>
            <w:tcW w:type="dxa" w:w="3312"/>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Two-agent operational workflow</w:t>
            </w:r>
          </w:p>
        </w:tc>
        <w:tc>
          <w:tcPr>
            <w:tcW w:type="dxa" w:w="2016"/>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145,000-250,000</w:t>
            </w:r>
          </w:p>
        </w:tc>
        <w:tc>
          <w:tcPr>
            <w:tcW w:type="dxa" w:w="432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Existing transaction-oriented analysis of Intake Analyzer and Gate 3 Memo Creator</w:t>
            </w:r>
          </w:p>
        </w:tc>
      </w:tr>
      <w:tr>
        <w:tc>
          <w:tcPr>
            <w:tcW w:type="dxa" w:w="3312"/>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Requirements, architecture, prompt engineering, and iterative artifact drafting</w:t>
            </w:r>
          </w:p>
        </w:tc>
        <w:tc>
          <w:tcPr>
            <w:tcW w:type="dxa" w:w="2016"/>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70,000-160,000</w:t>
            </w:r>
          </w:p>
        </w:tc>
        <w:tc>
          <w:tcPr>
            <w:tcW w:type="dxa" w:w="432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Multiple long-form requirements, summaries, mappings, prompts, and revisions</w:t>
            </w:r>
          </w:p>
        </w:tc>
      </w:tr>
      <w:tr>
        <w:tc>
          <w:tcPr>
            <w:tcW w:type="dxa" w:w="3312"/>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QA diagnosis, defect correction, and retest assistance</w:t>
            </w:r>
          </w:p>
        </w:tc>
        <w:tc>
          <w:tcPr>
            <w:tcW w:type="dxa" w:w="2016"/>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45,000-120,000</w:t>
            </w:r>
          </w:p>
        </w:tc>
        <w:tc>
          <w:tcPr>
            <w:tcW w:type="dxa" w:w="432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Four detailed evaluation records, runtime-log analysis, integration fixes, and regeneration cycles</w:t>
            </w:r>
          </w:p>
        </w:tc>
      </w:tr>
      <w:tr>
        <w:tc>
          <w:tcPr>
            <w:tcW w:type="dxa" w:w="3312"/>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t>Claude Agent contribution</w:t>
            </w:r>
          </w:p>
        </w:tc>
        <w:tc>
          <w:tcPr>
            <w:tcW w:type="dxa" w:w="2016"/>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25,000-60,000</w:t>
            </w:r>
          </w:p>
        </w:tc>
        <w:tc>
          <w:tcPr>
            <w:tcW w:type="dxa" w:w="432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Team-reported external review and alternative analysis; no authoritative telemetry supplied</w:t>
            </w:r>
          </w:p>
        </w:tc>
      </w:tr>
      <w:tr>
        <w:tc>
          <w:tcPr>
            <w:tcW w:type="dxa" w:w="3312"/>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t>This Copilot Agent (Flynn) consolidation session, including document generation</w:t>
            </w:r>
          </w:p>
        </w:tc>
        <w:tc>
          <w:tcPr>
            <w:tcW w:type="dxa" w:w="2016"/>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15,000-30,000</w:t>
            </w:r>
          </w:p>
        </w:tc>
        <w:tc>
          <w:tcPr>
            <w:tcW w:type="dxa" w:w="432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Registered source review, synthesis, matrix creation, and file-production context</w:t>
            </w:r>
          </w:p>
        </w:tc>
      </w:tr>
      <w:tr>
        <w:tc>
          <w:tcPr>
            <w:tcW w:type="dxa" w:w="3312"/>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Estimated total project processing</w:t>
            </w:r>
          </w:p>
        </w:tc>
        <w:tc>
          <w:tcPr>
            <w:tcW w:type="dxa" w:w="2016"/>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300,000-620,000</w:t>
            </w:r>
          </w:p>
        </w:tc>
        <w:tc>
          <w:tcPr>
            <w:tcW w:type="dxa" w:w="432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Rounded sum of the component ranges</w:t>
            </w:r>
          </w:p>
        </w:tc>
      </w:tr>
      <w:tr>
        <w:tc>
          <w:tcPr>
            <w:tcW w:type="dxa" w:w="3312"/>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Conservative sensitivity envelope</w:t>
            </w:r>
          </w:p>
        </w:tc>
        <w:tc>
          <w:tcPr>
            <w:tcW w:type="dxa" w:w="2016"/>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220,000-850,000</w:t>
            </w:r>
          </w:p>
        </w:tc>
        <w:tc>
          <w:tcPr>
            <w:tcW w:type="dxa" w:w="432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Allows for unknown retrieval, hidden instructions, context reuse, and retries</w:t>
            </w:r>
          </w:p>
        </w:tc>
      </w:tr>
    </w:tbl>
    <w:p>
      <w:pPr>
        <w:spacing w:after="40"/>
      </w:pPr>
    </w:p>
    <w:p>
      <w:r>
        <w:t>Planning figure: use approximately 450,000 model tokens for the entire hackathon project to date. Use “estimated model tokens processed,” not “tokens billed.” The figure includes this document-production session and the user-declared external Claude review, but it remains an estimate rather than service telemetry.</w:t>
      </w:r>
    </w:p>
    <w:p>
      <w:pPr>
        <w:pStyle w:val="Heading2"/>
      </w:pPr>
      <w:r>
        <w:t>6.1 Main avoidable token drivers</w:t>
      </w:r>
    </w:p>
    <w:p>
      <w:pPr>
        <w:pStyle w:val="ListBullet"/>
      </w:pPr>
      <w:r>
        <w:t>Part 2 repeated structures from Part 1, and assembly reread and re-emitted both parts.</w:t>
      </w:r>
    </w:p>
    <w:p>
      <w:pPr>
        <w:pStyle w:val="ListBullet"/>
      </w:pPr>
      <w:r>
        <w:t>Full workbooks were reread by the memo agent instead of a compact validated Gate 3 contract.</w:t>
      </w:r>
    </w:p>
    <w:p>
      <w:pPr>
        <w:pStyle w:val="ListBullet"/>
      </w:pPr>
      <w:r>
        <w:t>HTML was generated by the language model instead of from a deterministic template.</w:t>
      </w:r>
    </w:p>
    <w:p>
      <w:pPr>
        <w:pStyle w:val="ListBullet"/>
      </w:pPr>
      <w:r>
        <w:t>Defect diagnosis required repeated artifact registration and long-context comparisons.</w:t>
      </w:r>
    </w:p>
    <w:p>
      <w:pPr>
        <w:pStyle w:val="Heading2"/>
      </w:pPr>
      <w:r>
        <w:t>6.2 Cleaner next path</w:t>
      </w:r>
    </w:p>
    <w:p>
      <w:pPr>
        <w:pStyle w:val="ListBullet"/>
      </w:pPr>
      <w:r>
        <w:t>Move semantic-part assembly and HTML templating to deterministic code.</w:t>
      </w:r>
    </w:p>
    <w:p>
      <w:pPr>
        <w:pStyle w:val="ListBullet"/>
      </w:pPr>
      <w:r>
        <w:t>Pass the Memo Creator a compact, validated Gate 3 package with source IDs and exact official fields.</w:t>
      </w:r>
    </w:p>
    <w:p>
      <w:pPr>
        <w:pStyle w:val="ListBullet"/>
      </w:pPr>
      <w:r>
        <w:t>Capture service usage metadata where available: transaction ID, model, input/output tokens, retries, retrieval statistics, and timestamp.</w:t>
      </w:r>
    </w:p>
    <w:p>
      <w:pPr>
        <w:pStyle w:val="Heading1"/>
      </w:pPr>
      <w:r>
        <w:t>7. Alignment to the hackathon scoring model</w:t>
      </w:r>
    </w:p>
    <w:tbl>
      <w:tblPr>
        <w:tblStyle w:val="TableGrid"/>
        <w:tblW w:type="auto" w:w="0"/>
        <w:jc w:val="center"/>
        <w:tblLook w:firstColumn="1" w:firstRow="1" w:lastColumn="0" w:lastRow="0" w:noHBand="0" w:noVBand="1" w:val="04A0"/>
      </w:tblPr>
      <w:tblGrid>
        <w:gridCol w:w="3427"/>
        <w:gridCol w:w="3427"/>
        <w:gridCol w:w="3427"/>
      </w:tblGrid>
      <w:tr>
        <w:tc>
          <w:tcPr>
            <w:tcW w:type="dxa" w:w="3312"/>
            <w:shd w:fill="173F5F"/>
            <w:vAlign w:val="center"/>
          </w:tcPr>
          <w:p>
            <w:r>
              <w:rPr>
                <w:b/>
                <w:color w:val="FFFFFF"/>
                <w:sz w:val="17"/>
              </w:rPr>
              <w:t>Criterion</w:t>
            </w:r>
          </w:p>
        </w:tc>
        <w:tc>
          <w:tcPr>
            <w:tcW w:type="dxa" w:w="1008"/>
            <w:shd w:fill="173F5F"/>
            <w:vAlign w:val="center"/>
          </w:tcPr>
          <w:p>
            <w:r>
              <w:rPr>
                <w:b/>
                <w:color w:val="FFFFFF"/>
                <w:sz w:val="17"/>
              </w:rPr>
              <w:t>Weight</w:t>
            </w:r>
          </w:p>
        </w:tc>
        <w:tc>
          <w:tcPr>
            <w:tcW w:type="dxa" w:w="5760"/>
            <w:shd w:fill="173F5F"/>
            <w:vAlign w:val="center"/>
          </w:tcPr>
          <w:p>
            <w:r>
              <w:rPr>
                <w:b/>
                <w:color w:val="FFFFFF"/>
                <w:sz w:val="17"/>
              </w:rPr>
              <w:t>Evidence position</w:t>
            </w:r>
          </w:p>
        </w:tc>
      </w:tr>
      <w:tr>
        <w:tc>
          <w:tcPr>
            <w:tcW w:type="dxa" w:w="3312"/>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AI harness and orchestration</w:t>
            </w:r>
          </w:p>
        </w:tc>
        <w:tc>
          <w:tcPr>
            <w:tcW w:type="dxa" w:w="1008"/>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30%</w:t>
            </w:r>
          </w:p>
        </w:tc>
        <w:tc>
          <w:tcPr>
            <w:tcW w:type="dxa" w:w="576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t>Focused agents, Claude Agent review, deterministic challenge layer, explicit prohibitions and contracts</w:t>
            </w:r>
          </w:p>
        </w:tc>
      </w:tr>
      <w:tr>
        <w:tc>
          <w:tcPr>
            <w:tcW w:type="dxa" w:w="3312"/>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SDLC automation</w:t>
            </w:r>
          </w:p>
        </w:tc>
        <w:tc>
          <w:tcPr>
            <w:tcW w:type="dxa" w:w="1008"/>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20%</w:t>
            </w:r>
          </w:p>
        </w:tc>
        <w:tc>
          <w:tcPr>
            <w:tcW w:type="dxa" w:w="576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Requirements, versioned artifacts, extract/validate/map/score workflows, repeatable test and closure design</w:t>
            </w:r>
          </w:p>
        </w:tc>
      </w:tr>
      <w:tr>
        <w:tc>
          <w:tcPr>
            <w:tcW w:type="dxa" w:w="3312"/>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Human-in-the-loop and governance</w:t>
            </w:r>
          </w:p>
        </w:tc>
        <w:tc>
          <w:tcPr>
            <w:tcW w:type="dxa" w:w="1008"/>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15%</w:t>
            </w:r>
          </w:p>
        </w:tc>
        <w:tc>
          <w:tcPr>
            <w:tcW w:type="dxa" w:w="576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Three human gates; original result retained; final committee decision blank</w:t>
            </w:r>
          </w:p>
        </w:tc>
      </w:tr>
      <w:tr>
        <w:tc>
          <w:tcPr>
            <w:tcW w:type="dxa" w:w="3312"/>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Evaluation framework</w:t>
            </w:r>
          </w:p>
        </w:tc>
        <w:tc>
          <w:tcPr>
            <w:tcW w:type="dxa" w:w="1008"/>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10%</w:t>
            </w:r>
          </w:p>
        </w:tc>
        <w:tc>
          <w:tcPr>
            <w:tcW w:type="dxa" w:w="576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17 checks, integrated 20-case final evaluation, negative controls, recovery path, earlier 65-test/500-run evidence</w:t>
            </w:r>
          </w:p>
        </w:tc>
      </w:tr>
      <w:tr>
        <w:tc>
          <w:tcPr>
            <w:tcW w:type="dxa" w:w="3312"/>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Context engineering and requirement expansion</w:t>
            </w:r>
          </w:p>
        </w:tc>
        <w:tc>
          <w:tcPr>
            <w:tcW w:type="dxa" w:w="1008"/>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10%</w:t>
            </w:r>
          </w:p>
        </w:tc>
        <w:tc>
          <w:tcPr>
            <w:tcW w:type="dxa" w:w="576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45 requirements; source authority and precedence; two-instrument intake</w:t>
            </w:r>
          </w:p>
        </w:tc>
      </w:tr>
      <w:tr>
        <w:tc>
          <w:tcPr>
            <w:tcW w:type="dxa" w:w="3312"/>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Production readiness</w:t>
            </w:r>
          </w:p>
        </w:tc>
        <w:tc>
          <w:tcPr>
            <w:tcW w:type="dxa" w:w="1008"/>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5%</w:t>
            </w:r>
          </w:p>
        </w:tc>
        <w:tc>
          <w:tcPr>
            <w:tcW w:type="dxa" w:w="576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Partial only; zero-dependency scoring and clear interfaces, but no production deployment or scale proof</w:t>
            </w:r>
          </w:p>
        </w:tc>
      </w:tr>
      <w:tr>
        <w:tc>
          <w:tcPr>
            <w:tcW w:type="dxa" w:w="3312"/>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Token efficiency</w:t>
            </w:r>
          </w:p>
        </w:tc>
        <w:tc>
          <w:tcPr>
            <w:tcW w:type="dxa" w:w="1008"/>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5%</w:t>
            </w:r>
          </w:p>
        </w:tc>
        <w:tc>
          <w:tcPr>
            <w:tcW w:type="dxa" w:w="5760"/>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Measured ranges, model-free scoring, structural parsing, quantified optimization opportunities</w:t>
            </w:r>
          </w:p>
        </w:tc>
      </w:tr>
      <w:tr>
        <w:tc>
          <w:tcPr>
            <w:tcW w:type="dxa" w:w="3312"/>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Engineering judgment</w:t>
            </w:r>
          </w:p>
        </w:tc>
        <w:tc>
          <w:tcPr>
            <w:tcW w:type="dxa" w:w="1008"/>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5%</w:t>
            </w:r>
          </w:p>
        </w:tc>
        <w:tc>
          <w:tcPr>
            <w:tcW w:type="dxa" w:w="5760"/>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Vendor-to-correspondent pivot, Power Apps decision, mapping refusal, runtime-contract correction, transparent non-claims</w:t>
            </w:r>
          </w:p>
        </w:tc>
      </w:tr>
    </w:tbl>
    <w:p>
      <w:pPr>
        <w:spacing w:after="40"/>
      </w:pPr>
    </w:p>
    <w:p>
      <w:pPr>
        <w:pStyle w:val="Heading1"/>
      </w:pPr>
      <w:r>
        <w:t>8. Transparent limitations and non-claims</w:t>
      </w:r>
    </w:p>
    <w:p>
      <w:pPr>
        <w:pStyle w:val="ListBullet"/>
      </w:pPr>
      <w:r>
        <w:t>Deployment Stage 5 and Operations Stage 6 are theoretical recommendations only. The team has a general Power Apps-oriented idea but has not deeply analyzed the designs or established Power Platform production expertise.</w:t>
      </w:r>
    </w:p>
    <w:p>
      <w:pPr>
        <w:pStyle w:val="ListBullet"/>
      </w:pPr>
      <w:r>
        <w:t>Production readiness and scale were not completed.</w:t>
      </w:r>
    </w:p>
    <w:p>
      <w:pPr>
        <w:pStyle w:val="ListBullet"/>
      </w:pPr>
      <w:r>
        <w:t>Power Apps was not implemented because credits were unavailable.</w:t>
      </w:r>
    </w:p>
    <w:p>
      <w:pPr>
        <w:pStyle w:val="ListBullet"/>
      </w:pPr>
      <w:r>
        <w:t>The demonstration uses synthetic or sanitized data and does not establish operational authenticity or legal sufficiency of evidence.</w:t>
      </w:r>
    </w:p>
    <w:p>
      <w:pPr>
        <w:pStyle w:val="ListBullet"/>
      </w:pPr>
      <w:r>
        <w:t>The Gate 3 HTML was inspected for validation and side effects; a full cross-browser automated suite was not executed.</w:t>
      </w:r>
    </w:p>
    <w:p>
      <w:pPr>
        <w:pStyle w:val="ListBullet"/>
      </w:pPr>
      <w:r>
        <w:t>Local SHA-256 evidence supports change detection but is not immutable external retention.</w:t>
      </w:r>
    </w:p>
    <w:p>
      <w:pPr>
        <w:pStyle w:val="ListBullet"/>
      </w:pPr>
      <w:r>
        <w:t>Production authentication, authorization, encryption at rest, retention scheduling, read-audit logging, monitoring, workflow APIs, and platform operations remain future work.</w:t>
      </w:r>
    </w:p>
    <w:p>
      <w:pPr>
        <w:pStyle w:val="ListBullet"/>
      </w:pPr>
      <w:r>
        <w:t>The outsider Claude contribution and project-wide token allocation are team-declared estimates without platform telemetry.</w:t>
      </w:r>
    </w:p>
    <w:p>
      <w:pPr>
        <w:pStyle w:val="Heading1"/>
      </w:pPr>
      <w:r>
        <w:t>9. Executive proof statement</w:t>
      </w:r>
    </w:p>
    <w:p>
      <w:r>
        <w:t>Correspondent Gate followed the hackathon rules because the team can show the engineering trail, not merely the final screen. Requirements were expanded and traced. Strategy changed when assumptions and platform constraints failed. The agent harness had explicit authority boundaries. Agent output was independently validated. Official scoring was deterministic and gated. Negative paths were executed. Integration defects were corrected at the producer or contract boundary and retested. Human decisions remained human. Token use was estimated transparently. Production and scale gaps were disclosed rather than disguised.</w:t>
      </w:r>
    </w:p>
    <w:tbl>
      <w:tblPr>
        <w:tblW w:type="auto" w:w="0"/>
        <w:jc w:val="center"/>
        <w:tblLook w:firstColumn="1" w:firstRow="1" w:lastColumn="0" w:lastRow="0" w:noHBand="0" w:noVBand="1" w:val="04A0"/>
      </w:tblPr>
      <w:tblGrid>
        <w:gridCol w:w="10282"/>
      </w:tblGrid>
      <w:tr>
        <w:tc>
          <w:tcPr>
            <w:tcW w:type="dxa" w:w="10282"/>
            <w:shd w:fill="EAF4F2"/>
            <w:tcBorders>
              <w:top w:val="single" w:sz="6" w:color="1F7A70"/>
              <w:left w:val="single" w:sz="6" w:color="1F7A70"/>
              <w:bottom w:val="single" w:sz="6" w:color="1F7A70"/>
              <w:right w:val="single" w:sz="6" w:color="1F7A70"/>
              <w:insideH w:val="single" w:sz="6" w:color="1F7A70"/>
              <w:insideV w:val="single" w:sz="6" w:color="1F7A70"/>
            </w:tcBorders>
          </w:tcPr>
          <w:p>
            <w:r>
              <w:rPr>
                <w:b/>
                <w:color w:val="1F7A70"/>
              </w:rPr>
              <w:t xml:space="preserve">BOTTOM LINE  </w:t>
            </w:r>
            <w:r>
              <w:t>Correspondent Gate is not an AI that approves a bank. It is a controlled, testable pipeline that exposes source evidence, deterministic calculation, human judgment, failure states, corrections, and unresolved production work at the appropriate stage.</w:t>
            </w:r>
          </w:p>
        </w:tc>
      </w:tr>
    </w:tbl>
    <w:p>
      <w:pPr>
        <w:spacing w:after="20"/>
      </w:pPr>
    </w:p>
    <w:p>
      <w:pPr>
        <w:pStyle w:val="Heading1"/>
      </w:pPr>
      <w:r>
        <w:rPr>
          <w:b w:val="0"/>
        </w:rPr>
        <w:t>11. Deployment Stage 5 and Operations Stage 6 - current evidence status</w:t>
      </w:r>
    </w:p>
    <w:p>
      <w:r>
        <w:rPr>
          <w:b/>
          <w:color w:val="8A5B00"/>
        </w:rPr>
        <w:t>The two newest artifacts extend the project into a theoretical production and operations target state. The team has not yet deeply analyzed, approved, implemented, tested, or operated these recommendations. The team currently has a general direction, especially the potential use of Power Apps, Dataverse, Power Automate, Copilot Studio, Power BI, and Azure services. These are architecture options for later assessment, not claims of platform expertise, production readiness, or deployment.</w:t>
      </w:r>
    </w:p>
    <w:p>
      <w:pPr>
        <w:pStyle w:val="Heading2"/>
      </w:pPr>
      <w:r>
        <w:rPr>
          <w:b w:val="0"/>
        </w:rPr>
        <w:t>Evidence classification</w:t>
      </w:r>
    </w:p>
    <w:tbl>
      <w:tblPr>
        <w:tblStyle w:val="TableGrid"/>
        <w:tblW w:type="auto" w:w="0"/>
        <w:tblLook w:firstColumn="1" w:firstRow="1" w:lastColumn="0" w:lastRow="0" w:noHBand="0" w:noVBand="1" w:val="04A0"/>
      </w:tblPr>
      <w:tblGrid>
        <w:gridCol w:w="2570"/>
        <w:gridCol w:w="2570"/>
        <w:gridCol w:w="2570"/>
        <w:gridCol w:w="2570"/>
      </w:tblGrid>
      <w:tr>
        <w:tc>
          <w:tcPr>
            <w:tcW w:type="dxa" w:w="2570"/>
            <w:shd w:fill="173F5F"/>
          </w:tcPr>
          <w:p>
            <w:r>
              <w:rPr>
                <w:b/>
                <w:color w:val="FFFFFF"/>
                <w:sz w:val="16"/>
              </w:rPr>
              <w:t>Artifact</w:t>
            </w:r>
          </w:p>
        </w:tc>
        <w:tc>
          <w:tcPr>
            <w:tcW w:type="dxa" w:w="2570"/>
            <w:shd w:fill="173F5F"/>
          </w:tcPr>
          <w:p>
            <w:r>
              <w:rPr>
                <w:b/>
                <w:color w:val="FFFFFF"/>
                <w:sz w:val="16"/>
              </w:rPr>
              <w:t>What it contains</w:t>
            </w:r>
          </w:p>
        </w:tc>
        <w:tc>
          <w:tcPr>
            <w:tcW w:type="dxa" w:w="2570"/>
            <w:shd w:fill="173F5F"/>
          </w:tcPr>
          <w:p>
            <w:r>
              <w:rPr>
                <w:b/>
                <w:color w:val="FFFFFF"/>
                <w:sz w:val="16"/>
              </w:rPr>
              <w:t>Evidence class</w:t>
            </w:r>
          </w:p>
        </w:tc>
        <w:tc>
          <w:tcPr>
            <w:tcW w:type="dxa" w:w="2570"/>
            <w:shd w:fill="173F5F"/>
          </w:tcPr>
          <w:p>
            <w:r>
              <w:rPr>
                <w:b/>
                <w:color w:val="FFFFFF"/>
                <w:sz w:val="16"/>
              </w:rPr>
              <w:t>What may be claimed</w:t>
            </w:r>
          </w:p>
        </w:tc>
      </w:tr>
      <w:tr>
        <w:tc>
          <w:tcPr>
            <w:tcW w:type="dxa" w:w="2570"/>
          </w:tcPr>
          <w:p>
            <w:pPr>
              <w:spacing w:after="20"/>
            </w:pPr>
            <w:r>
              <w:rPr>
                <w:sz w:val="16"/>
              </w:rPr>
              <w:t>Production Readiness Strategy - Deployment Stage 5</w:t>
            </w:r>
          </w:p>
        </w:tc>
        <w:tc>
          <w:tcPr>
            <w:tcW w:type="dxa" w:w="2570"/>
          </w:tcPr>
          <w:p>
            <w:pPr>
              <w:spacing w:after="20"/>
            </w:pPr>
            <w:r>
              <w:rPr>
                <w:sz w:val="16"/>
              </w:rPr>
              <w:t>Recommended target architecture, theoretical workflow, token optimization, security, ALM, environment strategy, deployment approach, pilot and go-live path.</w:t>
            </w:r>
          </w:p>
        </w:tc>
        <w:tc>
          <w:tcPr>
            <w:tcW w:type="dxa" w:w="2570"/>
          </w:tcPr>
          <w:p>
            <w:pPr>
              <w:spacing w:after="20"/>
            </w:pPr>
            <w:r>
              <w:rPr>
                <w:sz w:val="16"/>
              </w:rPr>
              <w:t>DESIGNED / NOT TEAM-VALIDATED</w:t>
            </w:r>
          </w:p>
        </w:tc>
        <w:tc>
          <w:tcPr>
            <w:tcW w:type="dxa" w:w="2570"/>
          </w:tcPr>
          <w:p>
            <w:pPr>
              <w:spacing w:after="20"/>
            </w:pPr>
            <w:r>
              <w:rPr>
                <w:sz w:val="16"/>
              </w:rPr>
              <w:t>A production strategy was drafted for evaluation. Do not claim production readiness, deployment, Power Platform implementation, scale proof, or deep platform expertise.</w:t>
            </w:r>
          </w:p>
        </w:tc>
      </w:tr>
      <w:tr>
        <w:tc>
          <w:tcPr>
            <w:tcW w:type="dxa" w:w="2570"/>
            <w:shd w:fill="F4F7FA"/>
          </w:tcPr>
          <w:p>
            <w:pPr>
              <w:spacing w:after="20"/>
            </w:pPr>
            <w:r>
              <w:rPr>
                <w:sz w:val="16"/>
              </w:rPr>
              <w:t>Operations, Monitoring and Continuous Improvement Plan</w:t>
            </w:r>
          </w:p>
        </w:tc>
        <w:tc>
          <w:tcPr>
            <w:tcW w:type="dxa" w:w="2570"/>
            <w:shd w:fill="F4F7FA"/>
          </w:tcPr>
          <w:p>
            <w:pPr>
              <w:spacing w:after="20"/>
            </w:pPr>
            <w:r>
              <w:rPr>
                <w:sz w:val="16"/>
              </w:rPr>
              <w:t>Recommended operating model, observability, SLO candidates, dashboards, alerts, incidents, Agent quality, FinOps, release controls, runbooks and improvement cadences.</w:t>
            </w:r>
          </w:p>
        </w:tc>
        <w:tc>
          <w:tcPr>
            <w:tcW w:type="dxa" w:w="2570"/>
            <w:shd w:fill="F4F7FA"/>
          </w:tcPr>
          <w:p>
            <w:pPr>
              <w:spacing w:after="20"/>
            </w:pPr>
            <w:r>
              <w:rPr>
                <w:sz w:val="16"/>
              </w:rPr>
              <w:t>DESIGNED / NOT TEAM-VALIDATED</w:t>
            </w:r>
          </w:p>
        </w:tc>
        <w:tc>
          <w:tcPr>
            <w:tcW w:type="dxa" w:w="2570"/>
            <w:shd w:fill="F4F7FA"/>
          </w:tcPr>
          <w:p>
            <w:pPr>
              <w:spacing w:after="20"/>
            </w:pPr>
            <w:r>
              <w:rPr>
                <w:sz w:val="16"/>
              </w:rPr>
              <w:t>An operations plan was drafted for evaluation. Do not claim monitoring, operational SLOs, runbooks, production support, or continuous-improvement execution.</w:t>
            </w:r>
          </w:p>
        </w:tc>
      </w:tr>
    </w:tbl>
    <w:p>
      <w:pPr>
        <w:pStyle w:val="Heading2"/>
      </w:pPr>
      <w:r>
        <w:rPr>
          <w:b w:val="0"/>
        </w:rPr>
        <w:t>Proposed target architecture, subject to team and governance review</w:t>
      </w:r>
    </w:p>
    <w:tbl>
      <w:tblPr>
        <w:tblStyle w:val="TableGrid"/>
        <w:tblW w:type="auto" w:w="0"/>
        <w:tblLook w:firstColumn="1" w:firstRow="1" w:lastColumn="0" w:lastRow="0" w:noHBand="0" w:noVBand="1" w:val="04A0"/>
      </w:tblPr>
      <w:tblGrid>
        <w:gridCol w:w="2570"/>
        <w:gridCol w:w="2570"/>
        <w:gridCol w:w="2570"/>
        <w:gridCol w:w="2570"/>
      </w:tblGrid>
      <w:tr>
        <w:tc>
          <w:tcPr>
            <w:tcW w:type="dxa" w:w="2570"/>
            <w:shd w:fill="173F5F"/>
          </w:tcPr>
          <w:p>
            <w:r>
              <w:rPr>
                <w:b/>
                <w:color w:val="FFFFFF"/>
                <w:sz w:val="16"/>
              </w:rPr>
              <w:t>Layer</w:t>
            </w:r>
          </w:p>
        </w:tc>
        <w:tc>
          <w:tcPr>
            <w:tcW w:type="dxa" w:w="2570"/>
            <w:shd w:fill="173F5F"/>
          </w:tcPr>
          <w:p>
            <w:r>
              <w:rPr>
                <w:b/>
                <w:color w:val="FFFFFF"/>
                <w:sz w:val="16"/>
              </w:rPr>
              <w:t>Recommended option</w:t>
            </w:r>
          </w:p>
        </w:tc>
        <w:tc>
          <w:tcPr>
            <w:tcW w:type="dxa" w:w="2570"/>
            <w:shd w:fill="173F5F"/>
          </w:tcPr>
          <w:p>
            <w:r>
              <w:rPr>
                <w:b/>
                <w:color w:val="FFFFFF"/>
                <w:sz w:val="16"/>
              </w:rPr>
              <w:t>Reason for consideration</w:t>
            </w:r>
          </w:p>
        </w:tc>
        <w:tc>
          <w:tcPr>
            <w:tcW w:type="dxa" w:w="2570"/>
            <w:shd w:fill="173F5F"/>
          </w:tcPr>
          <w:p>
            <w:r>
              <w:rPr>
                <w:b/>
                <w:color w:val="FFFFFF"/>
                <w:sz w:val="16"/>
              </w:rPr>
              <w:t>Current certainty</w:t>
            </w:r>
          </w:p>
        </w:tc>
      </w:tr>
      <w:tr>
        <w:tc>
          <w:tcPr>
            <w:tcW w:type="dxa" w:w="2570"/>
          </w:tcPr>
          <w:p>
            <w:pPr>
              <w:spacing w:after="20"/>
            </w:pPr>
            <w:r>
              <w:rPr>
                <w:sz w:val="16"/>
              </w:rPr>
              <w:t>Human workbench</w:t>
            </w:r>
          </w:p>
        </w:tc>
        <w:tc>
          <w:tcPr>
            <w:tcW w:type="dxa" w:w="2570"/>
          </w:tcPr>
          <w:p>
            <w:pPr>
              <w:spacing w:after="20"/>
            </w:pPr>
            <w:r>
              <w:rPr>
                <w:sz w:val="16"/>
              </w:rPr>
              <w:t>Power Apps model-driven app</w:t>
            </w:r>
          </w:p>
        </w:tc>
        <w:tc>
          <w:tcPr>
            <w:tcW w:type="dxa" w:w="2570"/>
          </w:tcPr>
          <w:p>
            <w:pPr>
              <w:spacing w:after="20"/>
            </w:pPr>
            <w:r>
              <w:rPr>
                <w:sz w:val="16"/>
              </w:rPr>
              <w:t>Structured forms, review views, queues, role-aware case work and Dataverse integration.</w:t>
            </w:r>
          </w:p>
        </w:tc>
        <w:tc>
          <w:tcPr>
            <w:tcW w:type="dxa" w:w="2570"/>
          </w:tcPr>
          <w:p>
            <w:pPr>
              <w:spacing w:after="20"/>
            </w:pPr>
            <w:r>
              <w:rPr>
                <w:sz w:val="16"/>
              </w:rPr>
              <w:t>General concept only; credits and licensing previously unavailable for the MVP.</w:t>
            </w:r>
          </w:p>
        </w:tc>
      </w:tr>
      <w:tr>
        <w:tc>
          <w:tcPr>
            <w:tcW w:type="dxa" w:w="2570"/>
            <w:shd w:fill="F4F7FA"/>
          </w:tcPr>
          <w:p>
            <w:pPr>
              <w:spacing w:after="20"/>
            </w:pPr>
            <w:r>
              <w:rPr>
                <w:sz w:val="16"/>
              </w:rPr>
              <w:t>System of record</w:t>
            </w:r>
          </w:p>
        </w:tc>
        <w:tc>
          <w:tcPr>
            <w:tcW w:type="dxa" w:w="2570"/>
            <w:shd w:fill="F4F7FA"/>
          </w:tcPr>
          <w:p>
            <w:pPr>
              <w:spacing w:after="20"/>
            </w:pPr>
            <w:r>
              <w:rPr>
                <w:sz w:val="16"/>
              </w:rPr>
              <w:t>Microsoft Dataverse</w:t>
            </w:r>
          </w:p>
        </w:tc>
        <w:tc>
          <w:tcPr>
            <w:tcW w:type="dxa" w:w="2570"/>
            <w:shd w:fill="F4F7FA"/>
          </w:tcPr>
          <w:p>
            <w:pPr>
              <w:spacing w:after="20"/>
            </w:pPr>
            <w:r>
              <w:rPr>
                <w:sz w:val="16"/>
              </w:rPr>
              <w:t>Structured relational case data, validation, business logic, and role/row/column security.</w:t>
            </w:r>
          </w:p>
        </w:tc>
        <w:tc>
          <w:tcPr>
            <w:tcW w:type="dxa" w:w="2570"/>
            <w:shd w:fill="F4F7FA"/>
          </w:tcPr>
          <w:p>
            <w:pPr>
              <w:spacing w:after="20"/>
            </w:pPr>
            <w:r>
              <w:rPr>
                <w:sz w:val="16"/>
              </w:rPr>
              <w:t>Recommendation; no production data model implemented.</w:t>
            </w:r>
          </w:p>
        </w:tc>
      </w:tr>
      <w:tr>
        <w:tc>
          <w:tcPr>
            <w:tcW w:type="dxa" w:w="2570"/>
          </w:tcPr>
          <w:p>
            <w:pPr>
              <w:spacing w:after="20"/>
            </w:pPr>
            <w:r>
              <w:rPr>
                <w:sz w:val="16"/>
              </w:rPr>
              <w:t>Agent layer</w:t>
            </w:r>
          </w:p>
        </w:tc>
        <w:tc>
          <w:tcPr>
            <w:tcW w:type="dxa" w:w="2570"/>
          </w:tcPr>
          <w:p>
            <w:pPr>
              <w:spacing w:after="20"/>
            </w:pPr>
            <w:r>
              <w:rPr>
                <w:sz w:val="16"/>
              </w:rPr>
              <w:t>Microsoft Copilot Studio</w:t>
            </w:r>
          </w:p>
        </w:tc>
        <w:tc>
          <w:tcPr>
            <w:tcW w:type="dxa" w:w="2570"/>
          </w:tcPr>
          <w:p>
            <w:pPr>
              <w:spacing w:after="20"/>
            </w:pPr>
            <w:r>
              <w:rPr>
                <w:sz w:val="16"/>
              </w:rPr>
              <w:t>Managed Agent authoring, actions, authentication and analytics.</w:t>
            </w:r>
          </w:p>
        </w:tc>
        <w:tc>
          <w:tcPr>
            <w:tcW w:type="dxa" w:w="2570"/>
          </w:tcPr>
          <w:p>
            <w:pPr>
              <w:spacing w:after="20"/>
            </w:pPr>
            <w:r>
              <w:rPr>
                <w:sz w:val="16"/>
              </w:rPr>
              <w:t>Recommendation; existing MVP Agents would need redesign and evaluation.</w:t>
            </w:r>
          </w:p>
        </w:tc>
      </w:tr>
      <w:tr>
        <w:tc>
          <w:tcPr>
            <w:tcW w:type="dxa" w:w="2570"/>
            <w:shd w:fill="F4F7FA"/>
          </w:tcPr>
          <w:p>
            <w:pPr>
              <w:spacing w:after="20"/>
            </w:pPr>
            <w:r>
              <w:rPr>
                <w:sz w:val="16"/>
              </w:rPr>
              <w:t>Workflow</w:t>
            </w:r>
          </w:p>
        </w:tc>
        <w:tc>
          <w:tcPr>
            <w:tcW w:type="dxa" w:w="2570"/>
            <w:shd w:fill="F4F7FA"/>
          </w:tcPr>
          <w:p>
            <w:pPr>
              <w:spacing w:after="20"/>
            </w:pPr>
            <w:r>
              <w:rPr>
                <w:sz w:val="16"/>
              </w:rPr>
              <w:t>Power Automate; Azure Logic Apps/Durable Functions for longer technical orchestration</w:t>
            </w:r>
          </w:p>
        </w:tc>
        <w:tc>
          <w:tcPr>
            <w:tcW w:type="dxa" w:w="2570"/>
            <w:shd w:fill="F4F7FA"/>
          </w:tcPr>
          <w:p>
            <w:pPr>
              <w:spacing w:after="20"/>
            </w:pPr>
            <w:r>
              <w:rPr>
                <w:sz w:val="16"/>
              </w:rPr>
              <w:t>Approvals, tasks, reminders and integration, with stronger orchestration for resilient processing.</w:t>
            </w:r>
          </w:p>
        </w:tc>
        <w:tc>
          <w:tcPr>
            <w:tcW w:type="dxa" w:w="2570"/>
            <w:shd w:fill="F4F7FA"/>
          </w:tcPr>
          <w:p>
            <w:pPr>
              <w:spacing w:after="20"/>
            </w:pPr>
            <w:r>
              <w:rPr>
                <w:sz w:val="16"/>
              </w:rPr>
              <w:t>Recommendation; no production flow implemented.</w:t>
            </w:r>
          </w:p>
        </w:tc>
      </w:tr>
      <w:tr>
        <w:tc>
          <w:tcPr>
            <w:tcW w:type="dxa" w:w="2570"/>
          </w:tcPr>
          <w:p>
            <w:pPr>
              <w:spacing w:after="20"/>
            </w:pPr>
            <w:r>
              <w:rPr>
                <w:sz w:val="16"/>
              </w:rPr>
              <w:t>Deterministic controls</w:t>
            </w:r>
          </w:p>
        </w:tc>
        <w:tc>
          <w:tcPr>
            <w:tcW w:type="dxa" w:w="2570"/>
          </w:tcPr>
          <w:p>
            <w:pPr>
              <w:spacing w:after="20"/>
            </w:pPr>
            <w:r>
              <w:rPr>
                <w:sz w:val="16"/>
              </w:rPr>
              <w:t>Azure Functions or Container Apps running versioned Node.js validation/scoring</w:t>
            </w:r>
          </w:p>
        </w:tc>
        <w:tc>
          <w:tcPr>
            <w:tcW w:type="dxa" w:w="2570"/>
          </w:tcPr>
          <w:p>
            <w:pPr>
              <w:spacing w:after="20"/>
            </w:pPr>
            <w:r>
              <w:rPr>
                <w:sz w:val="16"/>
              </w:rPr>
              <w:t>Preserves the rule that LLMs do not calculate the official score.</w:t>
            </w:r>
          </w:p>
        </w:tc>
        <w:tc>
          <w:tcPr>
            <w:tcW w:type="dxa" w:w="2570"/>
          </w:tcPr>
          <w:p>
            <w:pPr>
              <w:spacing w:after="20"/>
            </w:pPr>
            <w:r>
              <w:rPr>
                <w:sz w:val="16"/>
              </w:rPr>
              <w:t>Conceptual migration of tested MVP code, not a completed deployment.</w:t>
            </w:r>
          </w:p>
        </w:tc>
      </w:tr>
      <w:tr>
        <w:tc>
          <w:tcPr>
            <w:tcW w:type="dxa" w:w="2570"/>
            <w:shd w:fill="F4F7FA"/>
          </w:tcPr>
          <w:p>
            <w:pPr>
              <w:spacing w:after="20"/>
            </w:pPr>
            <w:r>
              <w:rPr>
                <w:sz w:val="16"/>
              </w:rPr>
              <w:t>Operations</w:t>
            </w:r>
          </w:p>
        </w:tc>
        <w:tc>
          <w:tcPr>
            <w:tcW w:type="dxa" w:w="2570"/>
            <w:shd w:fill="F4F7FA"/>
          </w:tcPr>
          <w:p>
            <w:pPr>
              <w:spacing w:after="20"/>
            </w:pPr>
            <w:r>
              <w:rPr>
                <w:sz w:val="16"/>
              </w:rPr>
              <w:t>Application Insights, Azure Monitor, Log Analytics, Power BI, Power Platform and Copilot Studio analytics</w:t>
            </w:r>
          </w:p>
        </w:tc>
        <w:tc>
          <w:tcPr>
            <w:tcW w:type="dxa" w:w="2570"/>
            <w:shd w:fill="F4F7FA"/>
          </w:tcPr>
          <w:p>
            <w:pPr>
              <w:spacing w:after="20"/>
            </w:pPr>
            <w:r>
              <w:rPr>
                <w:sz w:val="16"/>
              </w:rPr>
              <w:t>End-to-end technical, business, Agent quality and cost observability.</w:t>
            </w:r>
          </w:p>
        </w:tc>
        <w:tc>
          <w:tcPr>
            <w:tcW w:type="dxa" w:w="2570"/>
            <w:shd w:fill="F4F7FA"/>
          </w:tcPr>
          <w:p>
            <w:pPr>
              <w:spacing w:after="20"/>
            </w:pPr>
            <w:r>
              <w:rPr>
                <w:sz w:val="16"/>
              </w:rPr>
              <w:t>Designed only; no production telemetry exists.</w:t>
            </w:r>
          </w:p>
        </w:tc>
      </w:tr>
    </w:tbl>
    <w:p>
      <w:pPr>
        <w:pStyle w:val="Heading2"/>
      </w:pPr>
      <w:r>
        <w:rPr>
          <w:b w:val="0"/>
        </w:rPr>
        <w:t>Proposed go-live path</w:t>
      </w:r>
    </w:p>
    <w:tbl>
      <w:tblPr>
        <w:tblStyle w:val="TableGrid"/>
        <w:tblW w:type="auto" w:w="0"/>
        <w:tblLook w:firstColumn="1" w:firstRow="1" w:lastColumn="0" w:lastRow="0" w:noHBand="0" w:noVBand="1" w:val="04A0"/>
      </w:tblPr>
      <w:tblGrid>
        <w:gridCol w:w="3427"/>
        <w:gridCol w:w="3427"/>
        <w:gridCol w:w="3427"/>
      </w:tblGrid>
      <w:tr>
        <w:tc>
          <w:tcPr>
            <w:tcW w:type="dxa" w:w="3427"/>
            <w:shd w:fill="173F5F"/>
          </w:tcPr>
          <w:p>
            <w:r>
              <w:rPr>
                <w:b/>
                <w:color w:val="FFFFFF"/>
                <w:sz w:val="16"/>
              </w:rPr>
              <w:t>Phase</w:t>
            </w:r>
          </w:p>
        </w:tc>
        <w:tc>
          <w:tcPr>
            <w:tcW w:type="dxa" w:w="3427"/>
            <w:shd w:fill="173F5F"/>
          </w:tcPr>
          <w:p>
            <w:r>
              <w:rPr>
                <w:b/>
                <w:color w:val="FFFFFF"/>
                <w:sz w:val="16"/>
              </w:rPr>
              <w:t>Recommended outcome</w:t>
            </w:r>
          </w:p>
        </w:tc>
        <w:tc>
          <w:tcPr>
            <w:tcW w:type="dxa" w:w="3427"/>
            <w:shd w:fill="173F5F"/>
          </w:tcPr>
          <w:p>
            <w:r>
              <w:rPr>
                <w:b/>
                <w:color w:val="FFFFFF"/>
                <w:sz w:val="16"/>
              </w:rPr>
              <w:t>Evidence required before exit</w:t>
            </w:r>
          </w:p>
        </w:tc>
      </w:tr>
      <w:tr>
        <w:tc>
          <w:tcPr>
            <w:tcW w:type="dxa" w:w="3427"/>
          </w:tcPr>
          <w:p>
            <w:pPr>
              <w:spacing w:after="20"/>
            </w:pPr>
            <w:r>
              <w:rPr>
                <w:sz w:val="16"/>
              </w:rPr>
              <w:t>Governance and foundation</w:t>
            </w:r>
          </w:p>
        </w:tc>
        <w:tc>
          <w:tcPr>
            <w:tcW w:type="dxa" w:w="3427"/>
          </w:tcPr>
          <w:p>
            <w:pPr>
              <w:spacing w:after="20"/>
            </w:pPr>
            <w:r>
              <w:rPr>
                <w:sz w:val="16"/>
              </w:rPr>
              <w:t>Owners, funding, architecture/security/privacy review, environments, identity, DLP, repositories and pipelines.</w:t>
            </w:r>
          </w:p>
        </w:tc>
        <w:tc>
          <w:tcPr>
            <w:tcW w:type="dxa" w:w="3427"/>
          </w:tcPr>
          <w:p>
            <w:pPr>
              <w:spacing w:after="20"/>
            </w:pPr>
            <w:r>
              <w:rPr>
                <w:sz w:val="16"/>
              </w:rPr>
              <w:t>Approved decisions, licensing/capacity, data classification and control ownership.</w:t>
            </w:r>
          </w:p>
        </w:tc>
      </w:tr>
      <w:tr>
        <w:tc>
          <w:tcPr>
            <w:tcW w:type="dxa" w:w="3427"/>
            <w:shd w:fill="F4F7FA"/>
          </w:tcPr>
          <w:p>
            <w:pPr>
              <w:spacing w:after="20"/>
            </w:pPr>
            <w:r>
              <w:rPr>
                <w:sz w:val="16"/>
              </w:rPr>
              <w:t>Controlled build</w:t>
            </w:r>
          </w:p>
        </w:tc>
        <w:tc>
          <w:tcPr>
            <w:tcW w:type="dxa" w:w="3427"/>
            <w:shd w:fill="F4F7FA"/>
          </w:tcPr>
          <w:p>
            <w:pPr>
              <w:spacing w:after="20"/>
            </w:pPr>
            <w:r>
              <w:rPr>
                <w:sz w:val="16"/>
              </w:rPr>
              <w:t>Power Apps/Dataverse case model, workflows, authenticated Agent actions, deterministic APIs, and telemetry.</w:t>
            </w:r>
          </w:p>
        </w:tc>
        <w:tc>
          <w:tcPr>
            <w:tcW w:type="dxa" w:w="3427"/>
            <w:shd w:fill="F4F7FA"/>
          </w:tcPr>
          <w:p>
            <w:pPr>
              <w:spacing w:after="20"/>
            </w:pPr>
            <w:r>
              <w:rPr>
                <w:sz w:val="16"/>
              </w:rPr>
              <w:t>Unit, contract, regression, security and integration evidence.</w:t>
            </w:r>
          </w:p>
        </w:tc>
      </w:tr>
      <w:tr>
        <w:tc>
          <w:tcPr>
            <w:tcW w:type="dxa" w:w="3427"/>
          </w:tcPr>
          <w:p>
            <w:pPr>
              <w:spacing w:after="20"/>
            </w:pPr>
            <w:r>
              <w:rPr>
                <w:sz w:val="16"/>
              </w:rPr>
              <w:t>Shadow pilot</w:t>
            </w:r>
          </w:p>
        </w:tc>
        <w:tc>
          <w:tcPr>
            <w:tcW w:type="dxa" w:w="3427"/>
          </w:tcPr>
          <w:p>
            <w:pPr>
              <w:spacing w:after="20"/>
            </w:pPr>
            <w:r>
              <w:rPr>
                <w:sz w:val="16"/>
              </w:rPr>
              <w:t>Compare candidate outputs with the existing human process without changing decisions.</w:t>
            </w:r>
          </w:p>
        </w:tc>
        <w:tc>
          <w:tcPr>
            <w:tcW w:type="dxa" w:w="3427"/>
          </w:tcPr>
          <w:p>
            <w:pPr>
              <w:spacing w:after="20"/>
            </w:pPr>
            <w:r>
              <w:rPr>
                <w:sz w:val="16"/>
              </w:rPr>
              <w:t>Quality, traceability, latency, cost, refusal and control thresholds.</w:t>
            </w:r>
          </w:p>
        </w:tc>
      </w:tr>
      <w:tr>
        <w:tc>
          <w:tcPr>
            <w:tcW w:type="dxa" w:w="3427"/>
            <w:shd w:fill="F4F7FA"/>
          </w:tcPr>
          <w:p>
            <w:pPr>
              <w:spacing w:after="20"/>
            </w:pPr>
            <w:r>
              <w:rPr>
                <w:sz w:val="16"/>
              </w:rPr>
              <w:t>Limited production</w:t>
            </w:r>
          </w:p>
        </w:tc>
        <w:tc>
          <w:tcPr>
            <w:tcW w:type="dxa" w:w="3427"/>
            <w:shd w:fill="F4F7FA"/>
          </w:tcPr>
          <w:p>
            <w:pPr>
              <w:spacing w:after="20"/>
            </w:pPr>
            <w:r>
              <w:rPr>
                <w:sz w:val="16"/>
              </w:rPr>
              <w:t>One team/region/change type with support, rollback and daily review.</w:t>
            </w:r>
          </w:p>
        </w:tc>
        <w:tc>
          <w:tcPr>
            <w:tcW w:type="dxa" w:w="3427"/>
            <w:shd w:fill="F4F7FA"/>
          </w:tcPr>
          <w:p>
            <w:pPr>
              <w:spacing w:after="20"/>
            </w:pPr>
            <w:r>
              <w:rPr>
                <w:sz w:val="16"/>
              </w:rPr>
              <w:t>Stable SLOs, no severe unresolved incidents, accepted residual risks.</w:t>
            </w:r>
          </w:p>
        </w:tc>
      </w:tr>
      <w:tr>
        <w:tc>
          <w:tcPr>
            <w:tcW w:type="dxa" w:w="3427"/>
          </w:tcPr>
          <w:p>
            <w:pPr>
              <w:spacing w:after="20"/>
            </w:pPr>
            <w:r>
              <w:rPr>
                <w:sz w:val="16"/>
              </w:rPr>
              <w:t>General availability and scale</w:t>
            </w:r>
          </w:p>
        </w:tc>
        <w:tc>
          <w:tcPr>
            <w:tcW w:type="dxa" w:w="3427"/>
          </w:tcPr>
          <w:p>
            <w:pPr>
              <w:spacing w:after="20"/>
            </w:pPr>
            <w:r>
              <w:rPr>
                <w:sz w:val="16"/>
              </w:rPr>
              <w:t>Progressive user/volume expansion, then one change type/integration/region at a time.</w:t>
            </w:r>
          </w:p>
        </w:tc>
        <w:tc>
          <w:tcPr>
            <w:tcW w:type="dxa" w:w="3427"/>
          </w:tcPr>
          <w:p>
            <w:pPr>
              <w:spacing w:after="20"/>
            </w:pPr>
            <w:r>
              <w:rPr>
                <w:sz w:val="16"/>
              </w:rPr>
              <w:t>Separate capacity, regression, security and operational approval per expansion.</w:t>
            </w:r>
          </w:p>
        </w:tc>
      </w:tr>
    </w:tbl>
    <w:p>
      <w:pPr>
        <w:pStyle w:val="Heading2"/>
      </w:pPr>
      <w:r>
        <w:rPr>
          <w:b w:val="0"/>
        </w:rPr>
        <w:t>Updated total Agent token estimate</w:t>
      </w:r>
    </w:p>
    <w:tbl>
      <w:tblPr>
        <w:tblStyle w:val="TableGrid"/>
        <w:tblW w:type="auto" w:w="0"/>
        <w:tblLook w:firstColumn="1" w:firstRow="1" w:lastColumn="0" w:lastRow="0" w:noHBand="0" w:noVBand="1" w:val="04A0"/>
      </w:tblPr>
      <w:tblGrid>
        <w:gridCol w:w="3427"/>
        <w:gridCol w:w="3427"/>
        <w:gridCol w:w="3427"/>
      </w:tblGrid>
      <w:tr>
        <w:tc>
          <w:tcPr>
            <w:tcW w:type="dxa" w:w="3427"/>
            <w:shd w:fill="173F5F"/>
          </w:tcPr>
          <w:p>
            <w:r>
              <w:rPr>
                <w:b/>
                <w:color w:val="FFFFFF"/>
                <w:sz w:val="16"/>
              </w:rPr>
              <w:t>Work category</w:t>
            </w:r>
          </w:p>
        </w:tc>
        <w:tc>
          <w:tcPr>
            <w:tcW w:type="dxa" w:w="3427"/>
            <w:shd w:fill="173F5F"/>
          </w:tcPr>
          <w:p>
            <w:r>
              <w:rPr>
                <w:b/>
                <w:color w:val="FFFFFF"/>
                <w:sz w:val="16"/>
              </w:rPr>
              <w:t>Estimated model tokens</w:t>
            </w:r>
          </w:p>
        </w:tc>
        <w:tc>
          <w:tcPr>
            <w:tcW w:type="dxa" w:w="3427"/>
            <w:shd w:fill="173F5F"/>
          </w:tcPr>
          <w:p>
            <w:r>
              <w:rPr>
                <w:b/>
                <w:color w:val="FFFFFF"/>
                <w:sz w:val="16"/>
              </w:rPr>
              <w:t>Basis / caveat</w:t>
            </w:r>
          </w:p>
        </w:tc>
      </w:tr>
      <w:tr>
        <w:tc>
          <w:tcPr>
            <w:tcW w:type="dxa" w:w="3427"/>
          </w:tcPr>
          <w:p>
            <w:pPr>
              <w:spacing w:after="20"/>
            </w:pPr>
            <w:r>
              <w:rPr>
                <w:sz w:val="16"/>
              </w:rPr>
              <w:t>Original two-Agent solution workflow</w:t>
            </w:r>
          </w:p>
        </w:tc>
        <w:tc>
          <w:tcPr>
            <w:tcW w:type="dxa" w:w="3427"/>
          </w:tcPr>
          <w:p>
            <w:pPr>
              <w:spacing w:after="20"/>
            </w:pPr>
            <w:r>
              <w:rPr>
                <w:sz w:val="16"/>
              </w:rPr>
              <w:t>145,000-250,000</w:t>
            </w:r>
          </w:p>
        </w:tc>
        <w:tc>
          <w:tcPr>
            <w:tcW w:type="dxa" w:w="3427"/>
          </w:tcPr>
          <w:p>
            <w:pPr>
              <w:spacing w:after="20"/>
            </w:pPr>
            <w:r>
              <w:rPr>
                <w:sz w:val="16"/>
              </w:rPr>
              <w:t>Existing operational token analysis for Intake Analyzer and Memo Creator.</w:t>
            </w:r>
          </w:p>
        </w:tc>
      </w:tr>
      <w:tr>
        <w:tc>
          <w:tcPr>
            <w:tcW w:type="dxa" w:w="3427"/>
            <w:shd w:fill="F4F7FA"/>
          </w:tcPr>
          <w:p>
            <w:pPr>
              <w:spacing w:after="20"/>
            </w:pPr>
            <w:r>
              <w:rPr>
                <w:sz w:val="16"/>
              </w:rPr>
              <w:t>Requirements, research, architecture, prompts and iterative solution design</w:t>
            </w:r>
          </w:p>
        </w:tc>
        <w:tc>
          <w:tcPr>
            <w:tcW w:type="dxa" w:w="3427"/>
            <w:shd w:fill="F4F7FA"/>
          </w:tcPr>
          <w:p>
            <w:pPr>
              <w:spacing w:after="20"/>
            </w:pPr>
            <w:r>
              <w:rPr>
                <w:sz w:val="16"/>
              </w:rPr>
              <w:t>90,000-200,000</w:t>
            </w:r>
          </w:p>
        </w:tc>
        <w:tc>
          <w:tcPr>
            <w:tcW w:type="dxa" w:w="3427"/>
            <w:shd w:fill="F4F7FA"/>
          </w:tcPr>
          <w:p>
            <w:pPr>
              <w:spacing w:after="20"/>
            </w:pPr>
            <w:r>
              <w:rPr>
                <w:sz w:val="16"/>
              </w:rPr>
              <w:t>Includes reciprocal work by Copilot Agent (Flynn) and Claude Agent; no authoritative cross-platform telemetry.</w:t>
            </w:r>
          </w:p>
        </w:tc>
      </w:tr>
      <w:tr>
        <w:tc>
          <w:tcPr>
            <w:tcW w:type="dxa" w:w="3427"/>
          </w:tcPr>
          <w:p>
            <w:pPr>
              <w:spacing w:after="20"/>
            </w:pPr>
            <w:r>
              <w:rPr>
                <w:sz w:val="16"/>
              </w:rPr>
              <w:t>QA diagnosis, defect correction, retest assistance and evaluation records</w:t>
            </w:r>
          </w:p>
        </w:tc>
        <w:tc>
          <w:tcPr>
            <w:tcW w:type="dxa" w:w="3427"/>
          </w:tcPr>
          <w:p>
            <w:pPr>
              <w:spacing w:after="20"/>
            </w:pPr>
            <w:r>
              <w:rPr>
                <w:sz w:val="16"/>
              </w:rPr>
              <w:t>55,000-140,000</w:t>
            </w:r>
          </w:p>
        </w:tc>
        <w:tc>
          <w:tcPr>
            <w:tcW w:type="dxa" w:w="3427"/>
          </w:tcPr>
          <w:p>
            <w:pPr>
              <w:spacing w:after="20"/>
            </w:pPr>
            <w:r>
              <w:rPr>
                <w:sz w:val="16"/>
              </w:rPr>
              <w:t>Long-context analysis and multiple correction cycles.</w:t>
            </w:r>
          </w:p>
        </w:tc>
      </w:tr>
      <w:tr>
        <w:tc>
          <w:tcPr>
            <w:tcW w:type="dxa" w:w="3427"/>
            <w:shd w:fill="F4F7FA"/>
          </w:tcPr>
          <w:p>
            <w:pPr>
              <w:spacing w:after="20"/>
            </w:pPr>
            <w:r>
              <w:rPr>
                <w:sz w:val="16"/>
              </w:rPr>
              <w:t>Executive, lifecycle, evidence, Stage 5, Operations and revision artifacts</w:t>
            </w:r>
          </w:p>
        </w:tc>
        <w:tc>
          <w:tcPr>
            <w:tcW w:type="dxa" w:w="3427"/>
            <w:shd w:fill="F4F7FA"/>
          </w:tcPr>
          <w:p>
            <w:pPr>
              <w:spacing w:after="20"/>
            </w:pPr>
            <w:r>
              <w:rPr>
                <w:sz w:val="16"/>
              </w:rPr>
              <w:t>45,000-110,000</w:t>
            </w:r>
          </w:p>
        </w:tc>
        <w:tc>
          <w:tcPr>
            <w:tcW w:type="dxa" w:w="3427"/>
            <w:shd w:fill="F4F7FA"/>
          </w:tcPr>
          <w:p>
            <w:pPr>
              <w:spacing w:after="20"/>
            </w:pPr>
            <w:r>
              <w:rPr>
                <w:sz w:val="16"/>
              </w:rPr>
              <w:t>Includes all document-generation and revision work in this conversation, including the current session.</w:t>
            </w:r>
          </w:p>
        </w:tc>
      </w:tr>
      <w:tr>
        <w:tc>
          <w:tcPr>
            <w:tcW w:type="dxa" w:w="3427"/>
          </w:tcPr>
          <w:p>
            <w:pPr>
              <w:spacing w:after="20"/>
            </w:pPr>
            <w:r>
              <w:rPr>
                <w:sz w:val="16"/>
              </w:rPr>
              <w:t>Estimated total hackathon project to date</w:t>
            </w:r>
          </w:p>
        </w:tc>
        <w:tc>
          <w:tcPr>
            <w:tcW w:type="dxa" w:w="3427"/>
          </w:tcPr>
          <w:p>
            <w:pPr>
              <w:spacing w:after="20"/>
            </w:pPr>
            <w:r>
              <w:rPr>
                <w:sz w:val="16"/>
              </w:rPr>
              <w:t>335,000-700,000</w:t>
            </w:r>
          </w:p>
        </w:tc>
        <w:tc>
          <w:tcPr>
            <w:tcW w:type="dxa" w:w="3427"/>
          </w:tcPr>
          <w:p>
            <w:pPr>
              <w:spacing w:after="20"/>
            </w:pPr>
            <w:r>
              <w:rPr>
                <w:sz w:val="16"/>
              </w:rPr>
              <w:t>Estimated model tokens processed across both Agents and all known artifact/prompt work.</w:t>
            </w:r>
          </w:p>
        </w:tc>
      </w:tr>
      <w:tr>
        <w:tc>
          <w:tcPr>
            <w:tcW w:type="dxa" w:w="3427"/>
            <w:shd w:fill="F4F7FA"/>
          </w:tcPr>
          <w:p>
            <w:pPr>
              <w:spacing w:after="20"/>
            </w:pPr>
            <w:r>
              <w:rPr>
                <w:sz w:val="16"/>
              </w:rPr>
              <w:t>Planning figure</w:t>
            </w:r>
          </w:p>
        </w:tc>
        <w:tc>
          <w:tcPr>
            <w:tcW w:type="dxa" w:w="3427"/>
            <w:shd w:fill="F4F7FA"/>
          </w:tcPr>
          <w:p>
            <w:pPr>
              <w:spacing w:after="20"/>
            </w:pPr>
            <w:r>
              <w:rPr>
                <w:sz w:val="16"/>
              </w:rPr>
              <w:t>Approximately 520,000</w:t>
            </w:r>
          </w:p>
        </w:tc>
        <w:tc>
          <w:tcPr>
            <w:tcW w:type="dxa" w:w="3427"/>
            <w:shd w:fill="F4F7FA"/>
          </w:tcPr>
          <w:p>
            <w:pPr>
              <w:spacing w:after="20"/>
            </w:pPr>
            <w:r>
              <w:rPr>
                <w:sz w:val="16"/>
              </w:rPr>
              <w:t>Use for planning only; not billed-token or provider telemetry.</w:t>
            </w:r>
          </w:p>
        </w:tc>
      </w:tr>
      <w:tr>
        <w:tc>
          <w:tcPr>
            <w:tcW w:type="dxa" w:w="3427"/>
          </w:tcPr>
          <w:p>
            <w:pPr>
              <w:spacing w:after="20"/>
            </w:pPr>
            <w:r>
              <w:rPr>
                <w:sz w:val="16"/>
              </w:rPr>
              <w:t>Conservative sensitivity envelope</w:t>
            </w:r>
          </w:p>
        </w:tc>
        <w:tc>
          <w:tcPr>
            <w:tcW w:type="dxa" w:w="3427"/>
          </w:tcPr>
          <w:p>
            <w:pPr>
              <w:spacing w:after="20"/>
            </w:pPr>
            <w:r>
              <w:rPr>
                <w:sz w:val="16"/>
              </w:rPr>
              <w:t>250,000-950,000</w:t>
            </w:r>
          </w:p>
        </w:tc>
        <w:tc>
          <w:tcPr>
            <w:tcW w:type="dxa" w:w="3427"/>
          </w:tcPr>
          <w:p>
            <w:pPr>
              <w:spacing w:after="20"/>
            </w:pPr>
            <w:r>
              <w:rPr>
                <w:sz w:val="16"/>
              </w:rPr>
              <w:t>Allows for hidden instructions, retrieval, retries, context compaction/reuse, differing tokenizers and unregistered Claude context.</w:t>
            </w:r>
          </w:p>
        </w:tc>
      </w:tr>
    </w:tbl>
    <w:p>
      <w:r>
        <w:rPr>
          <w:b/>
          <w:color w:val="1F7A70"/>
        </w:rPr>
        <w:t>Token statement: the estimate covers harnessing Copilot Agent (Flynn) and Claude Agent to analyze requirements, recommend and review the solution and architecture, answer prompts, diagnose defects, and produce the known hackathon artifacts, including Stage 5, Stage 6, and this session. It must be presented as an engineering estimate of model tokens processed, not an invoice, billing record, or exact telemetry.</w:t>
      </w:r>
    </w:p>
    <w:p>
      <w:pPr>
        <w:pStyle w:val="Heading2"/>
      </w:pPr>
      <w:r>
        <w:rPr>
          <w:b w:val="0"/>
        </w:rPr>
        <w:t>Token optimization direction for a future production version</w:t>
      </w:r>
    </w:p>
    <w:tbl>
      <w:tblPr>
        <w:tblStyle w:val="TableGrid"/>
        <w:tblW w:type="auto" w:w="0"/>
        <w:tblLook w:firstColumn="1" w:firstRow="1" w:lastColumn="0" w:lastRow="0" w:noHBand="0" w:noVBand="1" w:val="04A0"/>
      </w:tblPr>
      <w:tblGrid>
        <w:gridCol w:w="3427"/>
        <w:gridCol w:w="3427"/>
        <w:gridCol w:w="3427"/>
      </w:tblGrid>
      <w:tr>
        <w:tc>
          <w:tcPr>
            <w:tcW w:type="dxa" w:w="3427"/>
            <w:shd w:fill="173F5F"/>
          </w:tcPr>
          <w:p>
            <w:r>
              <w:rPr>
                <w:b/>
                <w:color w:val="FFFFFF"/>
                <w:sz w:val="16"/>
              </w:rPr>
              <w:t>Recommendation</w:t>
            </w:r>
          </w:p>
        </w:tc>
        <w:tc>
          <w:tcPr>
            <w:tcW w:type="dxa" w:w="3427"/>
            <w:shd w:fill="173F5F"/>
          </w:tcPr>
          <w:p>
            <w:r>
              <w:rPr>
                <w:b/>
                <w:color w:val="FFFFFF"/>
                <w:sz w:val="16"/>
              </w:rPr>
              <w:t>Expected effect</w:t>
            </w:r>
          </w:p>
        </w:tc>
        <w:tc>
          <w:tcPr>
            <w:tcW w:type="dxa" w:w="3427"/>
            <w:shd w:fill="173F5F"/>
          </w:tcPr>
          <w:p>
            <w:r>
              <w:rPr>
                <w:b/>
                <w:color w:val="FFFFFF"/>
                <w:sz w:val="16"/>
              </w:rPr>
              <w:t>Control</w:t>
            </w:r>
          </w:p>
        </w:tc>
      </w:tr>
      <w:tr>
        <w:tc>
          <w:tcPr>
            <w:tcW w:type="dxa" w:w="3427"/>
          </w:tcPr>
          <w:p>
            <w:pPr>
              <w:spacing w:after="20"/>
            </w:pPr>
            <w:r>
              <w:rPr>
                <w:sz w:val="16"/>
              </w:rPr>
              <w:t>Deterministic parsing before Agent calls</w:t>
            </w:r>
          </w:p>
        </w:tc>
        <w:tc>
          <w:tcPr>
            <w:tcW w:type="dxa" w:w="3427"/>
          </w:tcPr>
          <w:p>
            <w:pPr>
              <w:spacing w:after="20"/>
            </w:pPr>
            <w:r>
              <w:rPr>
                <w:sz w:val="16"/>
              </w:rPr>
              <w:t>Avoid model use for stable workbook cells, IDs, versions and enumerations.</w:t>
            </w:r>
          </w:p>
        </w:tc>
        <w:tc>
          <w:tcPr>
            <w:tcW w:type="dxa" w:w="3427"/>
          </w:tcPr>
          <w:p>
            <w:pPr>
              <w:spacing w:after="20"/>
            </w:pPr>
            <w:r>
              <w:rPr>
                <w:sz w:val="16"/>
              </w:rPr>
              <w:t>Retain semantic interpretation for ambiguous narrative only.</w:t>
            </w:r>
          </w:p>
        </w:tc>
      </w:tr>
      <w:tr>
        <w:tc>
          <w:tcPr>
            <w:tcW w:type="dxa" w:w="3427"/>
            <w:shd w:fill="F4F7FA"/>
          </w:tcPr>
          <w:p>
            <w:pPr>
              <w:spacing w:after="20"/>
            </w:pPr>
            <w:r>
              <w:rPr>
                <w:sz w:val="16"/>
              </w:rPr>
              <w:t>Compact Agent contracts and one canonical fact store</w:t>
            </w:r>
          </w:p>
        </w:tc>
        <w:tc>
          <w:tcPr>
            <w:tcW w:type="dxa" w:w="3427"/>
            <w:shd w:fill="F4F7FA"/>
          </w:tcPr>
          <w:p>
            <w:pPr>
              <w:spacing w:after="20"/>
            </w:pPr>
            <w:r>
              <w:rPr>
                <w:sz w:val="16"/>
              </w:rPr>
              <w:t>Reduce full-workbook rereads and repeated package output.</w:t>
            </w:r>
          </w:p>
        </w:tc>
        <w:tc>
          <w:tcPr>
            <w:tcW w:type="dxa" w:w="3427"/>
            <w:shd w:fill="F4F7FA"/>
          </w:tcPr>
          <w:p>
            <w:pPr>
              <w:spacing w:after="20"/>
            </w:pPr>
            <w:r>
              <w:rPr>
                <w:sz w:val="16"/>
              </w:rPr>
              <w:t>Every Agent source reference must resolve to retained evidence.</w:t>
            </w:r>
          </w:p>
        </w:tc>
      </w:tr>
      <w:tr>
        <w:tc>
          <w:tcPr>
            <w:tcW w:type="dxa" w:w="3427"/>
          </w:tcPr>
          <w:p>
            <w:pPr>
              <w:spacing w:after="20"/>
            </w:pPr>
            <w:r>
              <w:rPr>
                <w:sz w:val="16"/>
              </w:rPr>
              <w:t>Deterministic packet and document rendering</w:t>
            </w:r>
          </w:p>
        </w:tc>
        <w:tc>
          <w:tcPr>
            <w:tcW w:type="dxa" w:w="3427"/>
          </w:tcPr>
          <w:p>
            <w:pPr>
              <w:spacing w:after="20"/>
            </w:pPr>
            <w:r>
              <w:rPr>
                <w:sz w:val="16"/>
              </w:rPr>
              <w:t>Remove model-generated assembly and HTML duplication.</w:t>
            </w:r>
          </w:p>
        </w:tc>
        <w:tc>
          <w:tcPr>
            <w:tcW w:type="dxa" w:w="3427"/>
          </w:tcPr>
          <w:p>
            <w:pPr>
              <w:spacing w:after="20"/>
            </w:pPr>
            <w:r>
              <w:rPr>
                <w:sz w:val="16"/>
              </w:rPr>
              <w:t>Schema and rendering regression tests.</w:t>
            </w:r>
          </w:p>
        </w:tc>
      </w:tr>
      <w:tr>
        <w:tc>
          <w:tcPr>
            <w:tcW w:type="dxa" w:w="3427"/>
            <w:shd w:fill="F4F7FA"/>
          </w:tcPr>
          <w:p>
            <w:pPr>
              <w:spacing w:after="20"/>
            </w:pPr>
            <w:r>
              <w:rPr>
                <w:sz w:val="16"/>
              </w:rPr>
              <w:t>Retrieval by factor and authority</w:t>
            </w:r>
          </w:p>
        </w:tc>
        <w:tc>
          <w:tcPr>
            <w:tcW w:type="dxa" w:w="3427"/>
            <w:shd w:fill="F4F7FA"/>
          </w:tcPr>
          <w:p>
            <w:pPr>
              <w:spacing w:after="20"/>
            </w:pPr>
            <w:r>
              <w:rPr>
                <w:sz w:val="16"/>
              </w:rPr>
              <w:t>Send only material, version-approved evidence.</w:t>
            </w:r>
          </w:p>
        </w:tc>
        <w:tc>
          <w:tcPr>
            <w:tcW w:type="dxa" w:w="3427"/>
            <w:shd w:fill="F4F7FA"/>
          </w:tcPr>
          <w:p>
            <w:pPr>
              <w:spacing w:after="20"/>
            </w:pPr>
            <w:r>
              <w:rPr>
                <w:sz w:val="16"/>
              </w:rPr>
              <w:t>Permission, version, owner and expiry filtering.</w:t>
            </w:r>
          </w:p>
        </w:tc>
      </w:tr>
      <w:tr>
        <w:tc>
          <w:tcPr>
            <w:tcW w:type="dxa" w:w="3427"/>
          </w:tcPr>
          <w:p>
            <w:pPr>
              <w:spacing w:after="20"/>
            </w:pPr>
            <w:r>
              <w:rPr>
                <w:sz w:val="16"/>
              </w:rPr>
              <w:t>Model routing, bounded retries and budgets</w:t>
            </w:r>
          </w:p>
        </w:tc>
        <w:tc>
          <w:tcPr>
            <w:tcW w:type="dxa" w:w="3427"/>
          </w:tcPr>
          <w:p>
            <w:pPr>
              <w:spacing w:after="20"/>
            </w:pPr>
            <w:r>
              <w:rPr>
                <w:sz w:val="16"/>
              </w:rPr>
              <w:t>Reduce cost and runaway processing.</w:t>
            </w:r>
          </w:p>
        </w:tc>
        <w:tc>
          <w:tcPr>
            <w:tcW w:type="dxa" w:w="3427"/>
          </w:tcPr>
          <w:p>
            <w:pPr>
              <w:spacing w:after="20"/>
            </w:pPr>
            <w:r>
              <w:rPr>
                <w:sz w:val="16"/>
              </w:rPr>
              <w:t>No silent quality reduction; all changes require evals.</w:t>
            </w:r>
          </w:p>
        </w:tc>
      </w:tr>
    </w:tbl>
    <w:p>
      <w:pPr>
        <w:pStyle w:val="Heading1"/>
      </w:pPr>
      <w:r>
        <w:t>Appendix A. Source evidence register</w:t>
      </w:r>
    </w:p>
    <w:tbl>
      <w:tblPr>
        <w:tblStyle w:val="TableGrid"/>
        <w:tblW w:type="auto" w:w="0"/>
        <w:jc w:val="center"/>
        <w:tblLook w:firstColumn="1" w:firstRow="1" w:lastColumn="0" w:lastRow="0" w:noHBand="0" w:noVBand="1" w:val="04A0"/>
      </w:tblPr>
      <w:tblGrid>
        <w:gridCol w:w="5141"/>
        <w:gridCol w:w="5141"/>
      </w:tblGrid>
      <w:tr>
        <w:tc>
          <w:tcPr>
            <w:tcW w:type="dxa" w:w="4032"/>
            <w:shd w:fill="173F5F"/>
            <w:vAlign w:val="center"/>
          </w:tcPr>
          <w:p>
            <w:r>
              <w:rPr>
                <w:b/>
                <w:color w:val="FFFFFF"/>
                <w:sz w:val="17"/>
              </w:rPr>
              <w:t>Registered source</w:t>
            </w:r>
          </w:p>
        </w:tc>
        <w:tc>
          <w:tcPr>
            <w:tcW w:type="dxa" w:w="6336"/>
            <w:shd w:fill="173F5F"/>
            <w:vAlign w:val="center"/>
          </w:tcPr>
          <w:p>
            <w:r>
              <w:rPr>
                <w:b/>
                <w:color w:val="FFFFFF"/>
                <w:sz w:val="17"/>
              </w:rPr>
              <w:t>Use in this summary</w:t>
            </w:r>
          </w:p>
        </w:tc>
      </w:tr>
      <w:tr>
        <w:tc>
          <w:tcPr>
            <w:tcW w:type="dxa" w:w="4032"/>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Correspondent Gate - Token Analysis.docx</w:t>
            </w:r>
          </w:p>
        </w:tc>
        <w:tc>
          <w:tcPr>
            <w:tcW w:type="dxa" w:w="6336"/>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Operational workflow token ranges, duplication drivers, and optimization opportunities</w:t>
            </w:r>
          </w:p>
        </w:tc>
      </w:tr>
      <w:tr>
        <w:tc>
          <w:tcPr>
            <w:tcW w:type="dxa" w:w="4032"/>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CorrespondentGate-ExpandedRequirements.docx</w:t>
            </w:r>
          </w:p>
        </w:tc>
        <w:tc>
          <w:tcPr>
            <w:tcW w:type="dxa" w:w="6336"/>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45 requirements, status model, traceability, open items, and non-functional limits</w:t>
            </w:r>
          </w:p>
        </w:tc>
      </w:tr>
      <w:tr>
        <w:tc>
          <w:tcPr>
            <w:tcW w:type="dxa" w:w="4032"/>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CorrespondentGate-ExecutiveSummary.docx</w:t>
            </w:r>
          </w:p>
        </w:tc>
        <w:tc>
          <w:tcPr>
            <w:tcW w:type="dxa" w:w="6336"/>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Derivation history, scope correction, architecture, rubric interpretation, and known limitations</w:t>
            </w:r>
          </w:p>
        </w:tc>
      </w:tr>
      <w:tr>
        <w:tc>
          <w:tcPr>
            <w:tcW w:type="dxa" w:w="4032"/>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Executive Summary variants - Internal, Panelists, Team Members</w:t>
            </w:r>
          </w:p>
        </w:tc>
        <w:tc>
          <w:tcPr>
            <w:tcW w:type="dxa" w:w="6336"/>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Audience-specific architecture, workflow, quality evidence, closure and presentation framing</w:t>
            </w:r>
          </w:p>
        </w:tc>
      </w:tr>
      <w:tr>
        <w:tc>
          <w:tcPr>
            <w:tcW w:type="dxa" w:w="4032"/>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Test Evaluation Notes and Audit Trail v1.0.0</w:t>
            </w:r>
          </w:p>
        </w:tc>
        <w:tc>
          <w:tcPr>
            <w:tcW w:type="dxa" w:w="6336"/>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Earlier blocked-state evidence, 17-check validator result, 201 source records, defects and test plan</w:t>
            </w:r>
          </w:p>
        </w:tc>
      </w:tr>
      <w:tr>
        <w:tc>
          <w:tcPr>
            <w:tcW w:type="dxa" w:w="4032"/>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Hackathon Test Evaluation Notes</w:t>
            </w:r>
          </w:p>
        </w:tc>
        <w:tc>
          <w:tcPr>
            <w:tcW w:type="dxa" w:w="6336"/>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Fail-closed analysis, mapping correction design, and conditionally ready retest state</w:t>
            </w:r>
          </w:p>
        </w:tc>
      </w:tr>
      <w:tr>
        <w:tc>
          <w:tcPr>
            <w:tcW w:type="dxa" w:w="4032"/>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Hackathon_Test_Evaluation_Notes_CG-CASE-HP-002_1.md and _2.md</w:t>
            </w:r>
          </w:p>
        </w:tc>
        <w:tc>
          <w:tcPr>
            <w:tcW w:type="dxa" w:w="6336"/>
            <w:vAlign w:val="top"/>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Final integrated positive-path proof: correction, retest, official score, Gate 2 and Gate 3 admission</w:t>
            </w:r>
          </w:p>
        </w:tc>
      </w:tr>
      <w:tr>
        <w:tc>
          <w:tcPr>
            <w:tcW w:type="dxa" w:w="4032"/>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Genius Hacks Q3 2026 page</w:t>
            </w:r>
          </w:p>
        </w:tc>
        <w:tc>
          <w:tcPr>
            <w:tcW w:type="dxa" w:w="6336"/>
            <w:vAlign w:val="top"/>
            <w:shd w:fill="F4F7FA"/>
            <w:tcBorders>
              <w:top w:val="single" w:sz="6" w:color="D9E2F3"/>
              <w:left w:val="single" w:sz="6" w:color="D9E2F3"/>
              <w:bottom w:val="single" w:sz="6" w:color="D9E2F3"/>
              <w:right w:val="single" w:sz="6" w:color="D9E2F3"/>
              <w:insideH w:val="single" w:sz="6" w:color="D9E2F3"/>
              <w:insideV w:val="single" w:sz="6" w:color="D9E2F3"/>
            </w:tcBorders>
          </w:tcPr>
          <w:p>
            <w:pPr>
              <w:spacing w:after="20"/>
            </w:pPr>
            <w:r>
              <w:rPr>
                <w:sz w:val="16"/>
              </w:rPr>
              <w:t>Referenced by the team; direct retrieval was unavailable during consolidation, so rubric details are grounded in registered project documents</w:t>
            </w:r>
          </w:p>
        </w:tc>
      </w:tr>
    </w:tbl>
    <w:p>
      <w:pPr>
        <w:spacing w:after="40"/>
      </w:pPr>
    </w:p>
    <w:sectPr w:rsidR="00FC693F" w:rsidRPr="0006063C" w:rsidSect="00034616">
      <w:headerReference w:type="default" r:id="rId9"/>
      <w:footerReference w:type="default" r:id="rId10"/>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Synthetic QA evidence | Not a production approval or Microsoft billing statement | 27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B76"/>
        <w:sz w:val="16"/>
      </w:rPr>
      <w:t>CORRESPONDENT GATE  |  HACKATHON EXECUTIVE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F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7A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338C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F5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Correspondent Gate - Consolidated Executive Summary - Complete</dc:title>
  <dc:subject>Agent harness, SDLC evidence, deterministic evaluation, token analysis, and limitations</dc:subject>
  <dc:creator>Raymund Esponilla</dc:creator>
  <keywords/>
  <dc:description>generated by python-docx</dc:description>
  <lastModifiedBy>Raymund Esponilla</lastModifiedBy>
  <revision>1</revision>
  <dcterms:created xsi:type="dcterms:W3CDTF">2026-10-26T22:17:14.3692557Z</dcterms:created>
  <dcterms:modified xsi:type="dcterms:W3CDTF">2026-10-26T22:17:14.3692557Z</dcterms:modified>
  <category/>
</coreProperties>
</file>