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F5F"/>
          <w:sz w:val="54"/>
        </w:rPr>
        <w:t>CORRESPONDENT GATE</w:t>
      </w:r>
    </w:p>
    <w:p>
      <w:pPr>
        <w:jc w:val="center"/>
      </w:pPr>
      <w:r>
        <w:rPr>
          <w:b/>
          <w:color w:val="1F7A70"/>
          <w:sz w:val="38"/>
        </w:rPr>
        <w:t>Project Lifecycle Evidence Record</w:t>
      </w:r>
    </w:p>
    <w:p>
      <w:pPr>
        <w:jc w:val="center"/>
      </w:pPr>
      <w:r>
        <w:rPr>
          <w:i/>
        </w:rPr>
        <w:t>Detailed retrospective proof of Agent use, research, decisions, build activity, evaluation, and improvement</w:t>
      </w:r>
    </w:p>
    <w:tbl>
      <w:tblPr>
        <w:tblStyle w:val="TableGrid"/>
        <w:tblW w:type="auto" w:w="0"/>
        <w:jc w:val="center"/>
        <w:tblLook w:firstColumn="1" w:firstRow="1" w:lastColumn="0" w:lastRow="0" w:noHBand="0" w:noVBand="1" w:val="04A0"/>
      </w:tblPr>
      <w:tblGrid>
        <w:gridCol w:w="5112"/>
        <w:gridCol w:w="5112"/>
      </w:tblGrid>
      <w:tr>
        <w:tc>
          <w:tcPr>
            <w:tcW w:type="dxa" w:w="5112"/>
            <w:shd w:fill="173F5F"/>
          </w:tcPr>
          <w:p>
            <w:r>
              <w:rPr>
                <w:b/>
                <w:color w:val="FFFFFF"/>
                <w:sz w:val="16"/>
              </w:rPr>
              <w:t>Field</w:t>
            </w:r>
          </w:p>
        </w:tc>
        <w:tc>
          <w:tcPr>
            <w:tcW w:type="dxa" w:w="5112"/>
            <w:shd w:fill="173F5F"/>
          </w:tcPr>
          <w:p>
            <w:r>
              <w:rPr>
                <w:b/>
                <w:color w:val="FFFFFF"/>
                <w:sz w:val="16"/>
              </w:rPr>
              <w:t>Record</w:t>
            </w:r>
          </w:p>
        </w:tc>
      </w:tr>
      <w:tr>
        <w:tc>
          <w:tcPr>
            <w:tcW w:type="dxa" w:w="5112"/>
          </w:tcPr>
          <w:p>
            <w:pPr>
              <w:spacing w:after="20"/>
            </w:pPr>
            <w:r>
              <w:rPr>
                <w:sz w:val="16"/>
              </w:rPr>
              <w:t>Operating model</w:t>
            </w:r>
          </w:p>
        </w:tc>
        <w:tc>
          <w:tcPr>
            <w:tcW w:type="dxa" w:w="5112"/>
          </w:tcPr>
          <w:p>
            <w:pPr>
              <w:spacing w:after="20"/>
            </w:pPr>
            <w:r>
              <w:rPr>
                <w:sz w:val="16"/>
              </w:rPr>
              <w:t>Informal, spontaneous, artifact-driven delivery. No formal or traditional SDLC and no dependable meeting cadence.</w:t>
            </w:r>
          </w:p>
        </w:tc>
      </w:tr>
      <w:tr>
        <w:tc>
          <w:tcPr>
            <w:tcW w:type="dxa" w:w="5112"/>
            <w:shd w:fill="F4F7FA"/>
          </w:tcPr>
          <w:p>
            <w:pPr>
              <w:spacing w:after="20"/>
            </w:pPr>
            <w:r>
              <w:rPr>
                <w:sz w:val="16"/>
              </w:rPr>
              <w:t>Lifecycle lenses</w:t>
            </w:r>
          </w:p>
        </w:tc>
        <w:tc>
          <w:tcPr>
            <w:tcW w:type="dxa" w:w="5112"/>
            <w:shd w:fill="F4F7FA"/>
          </w:tcPr>
          <w:p>
            <w:pPr>
              <w:spacing w:after="20"/>
            </w:pPr>
            <w:r>
              <w:rPr>
                <w:sz w:val="16"/>
              </w:rPr>
              <w:t>DISCOVER, DEFINE, DESIGN, BUILD, TEST, REVIEW, IMPROVE, MAINTAIN. These organize evidence retrospectively; they were not formal phase gates.</w:t>
            </w:r>
          </w:p>
        </w:tc>
      </w:tr>
      <w:tr>
        <w:tc>
          <w:tcPr>
            <w:tcW w:type="dxa" w:w="5112"/>
          </w:tcPr>
          <w:p>
            <w:pPr>
              <w:spacing w:after="20"/>
            </w:pPr>
            <w:r>
              <w:rPr>
                <w:sz w:val="16"/>
              </w:rPr>
              <w:t>Development Agents</w:t>
            </w:r>
          </w:p>
        </w:tc>
        <w:tc>
          <w:tcPr>
            <w:tcW w:type="dxa" w:w="5112"/>
          </w:tcPr>
          <w:p>
            <w:pPr>
              <w:spacing w:after="20"/>
            </w:pPr>
            <w:r>
              <w:t>Copilot Agent (Flynn), a Solutions Architect role player used by a QA team member in the Consulting Project, and Claude Agent, created specifically for the hackathon. Both analyzed requirements, recommended the solution and architecture, and checked the other Agent’s deliverables.</w:t>
            </w:r>
          </w:p>
        </w:tc>
      </w:tr>
      <w:tr>
        <w:tc>
          <w:tcPr>
            <w:tcW w:type="dxa" w:w="5112"/>
            <w:shd w:fill="F4F7FA"/>
          </w:tcPr>
          <w:p>
            <w:pPr>
              <w:spacing w:after="20"/>
            </w:pPr>
            <w:r>
              <w:rPr>
                <w:sz w:val="16"/>
              </w:rPr>
              <w:t>Control model</w:t>
            </w:r>
          </w:p>
        </w:tc>
        <w:tc>
          <w:tcPr>
            <w:tcW w:type="dxa" w:w="5112"/>
            <w:shd w:fill="F4F7FA"/>
          </w:tcPr>
          <w:p>
            <w:pPr>
              <w:spacing w:after="20"/>
            </w:pPr>
            <w:r>
              <w:rPr>
                <w:sz w:val="16"/>
              </w:rPr>
              <w:t>Agent recommendations were reconciled against authoritative research, project artifacts, deterministic execution, and human decisions.</w:t>
            </w:r>
          </w:p>
        </w:tc>
      </w:tr>
      <w:tr>
        <w:tc>
          <w:tcPr>
            <w:tcW w:type="dxa" w:w="5112"/>
          </w:tcPr>
          <w:p>
            <w:pPr>
              <w:spacing w:after="20"/>
            </w:pPr>
            <w:r>
              <w:rPr>
                <w:sz w:val="16"/>
              </w:rPr>
              <w:t>Solution boundary</w:t>
            </w:r>
          </w:p>
        </w:tc>
        <w:tc>
          <w:tcPr>
            <w:tcW w:type="dxa" w:w="5112"/>
          </w:tcPr>
          <w:p>
            <w:pPr>
              <w:spacing w:after="20"/>
            </w:pPr>
            <w:r>
              <w:rPr>
                <w:sz w:val="16"/>
              </w:rPr>
              <w:t>Synthetic correspondent-banking onboarding demonstrator; not production-ready or scale-tested.</w:t>
            </w:r>
          </w:p>
        </w:tc>
      </w:tr>
    </w:tbl>
    <w:p/>
    <w:tbl>
      <w:tblPr>
        <w:tblW w:type="auto" w:w="0"/>
        <w:tblLook w:firstColumn="1" w:firstRow="1" w:lastColumn="0" w:lastRow="0" w:noHBand="0" w:noVBand="1" w:val="04A0"/>
      </w:tblPr>
      <w:tblGrid>
        <w:gridCol w:w="10224"/>
      </w:tblGrid>
      <w:tr>
        <w:tc>
          <w:tcPr>
            <w:tcW w:type="dxa" w:w="10224"/>
            <w:shd w:fill="EAF4F2"/>
          </w:tcPr>
          <w:p>
            <w:r>
              <w:rPr>
                <w:b/>
              </w:rPr>
              <w:t>Evidence principle: the team’s discipline is demonstrated by retained artifacts, fail-closed behavior, corrections, and retests, not by claiming a textbook delivery process.</w:t>
            </w:r>
          </w:p>
        </w:tc>
      </w:tr>
    </w:tbl>
    <w:p/>
    <w:p>
      <w:pPr>
        <w:pStyle w:val="Heading1"/>
      </w:pPr>
      <w:r>
        <w:t>1. Agent collaboration and reciprocal review</w:t>
      </w:r>
    </w:p>
    <w:p>
      <w:pPr/>
      <w:r>
        <w:t>Copilot Agent (Flynn) was a Solutions Architect role player already used by a QA team member in the team’s Consulting Project. Claude Agent was created specifically to help design and build the hackathon solution. Both reviewed the hackathon brief and requirements, recommended the correspondent-banking solution, proposed or challenged architecture choices, and checked the other Agent’s outputs. Copilot Agent (Flynn) consolidated requirements, architecture, Agent designs, QA analysis, defect diagnosis, documentation, token analysis, and final evidence. Claude Agent supplied independent analysis, recommendations, and review. Human team members resolved choices and executed local workflows.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F5F"/>
          </w:tcPr>
          <w:p>
            <w:r>
              <w:rPr>
                <w:b/>
                <w:color w:val="FFFFFF"/>
                <w:sz w:val="16"/>
              </w:rPr>
              <w:t>Participant</w:t>
            </w:r>
          </w:p>
        </w:tc>
        <w:tc>
          <w:tcPr>
            <w:tcW w:type="dxa" w:w="3408"/>
            <w:shd w:fill="173F5F"/>
          </w:tcPr>
          <w:p>
            <w:r>
              <w:rPr>
                <w:b/>
                <w:color w:val="FFFFFF"/>
                <w:sz w:val="16"/>
              </w:rPr>
              <w:t>Contribution</w:t>
            </w:r>
          </w:p>
        </w:tc>
        <w:tc>
          <w:tcPr>
            <w:tcW w:type="dxa" w:w="3408"/>
            <w:shd w:fill="173F5F"/>
          </w:tcPr>
          <w:p>
            <w:r>
              <w:rPr>
                <w:b/>
                <w:color w:val="FFFFFF"/>
                <w:sz w:val="16"/>
              </w:rPr>
              <w:t>How trust was established</w:t>
            </w:r>
          </w:p>
        </w:tc>
      </w:tr>
      <w:tr>
        <w:tc>
          <w:tcPr>
            <w:tcW w:type="dxa" w:w="3408"/>
          </w:tcPr>
          <w:p>
            <w:r>
              <w:t>Copilot Agent (Flynn) - Solutions Architect role player</w:t>
            </w:r>
          </w:p>
        </w:tc>
        <w:tc>
          <w:tcPr>
            <w:tcW w:type="dxa" w:w="3408"/>
          </w:tcPr>
          <w:p>
            <w:r>
              <w:t>Used by a QA team member in the team’s Consulting Project as a Solutions Architect role player. For the hackathon, Copilot Agent (Flynn) analyzed requirements, recommended the correspondent-banking solution and architecture, produced or refined requirements, Agent designs, QA and defect analysis, documentation and evidence, and reviewed Claude Agent deliverables.</w:t>
            </w:r>
          </w:p>
        </w:tc>
        <w:tc>
          <w:tcPr>
            <w:tcW w:type="dxa" w:w="3408"/>
          </w:tcPr>
          <w:p>
            <w:r>
              <w:t>Claude Agent reciprocal review, authoritative research, executable contracts, Validator and scoring outputs, artifact inspection, and human decisions.</w:t>
            </w:r>
          </w:p>
        </w:tc>
      </w:tr>
      <w:tr>
        <w:tc>
          <w:tcPr>
            <w:tcW w:type="dxa" w:w="3408"/>
            <w:shd w:fill="F4F7FA"/>
          </w:tcPr>
          <w:p>
            <w:r>
              <w:t>Claude Agent - hackathon design and build Agent</w:t>
            </w:r>
          </w:p>
        </w:tc>
        <w:tc>
          <w:tcPr>
            <w:tcW w:type="dxa" w:w="3408"/>
            <w:shd w:fill="F4F7FA"/>
          </w:tcPr>
          <w:p>
            <w:r>
              <w:t>Created specifically to help design and build the hackathon solution. Claude Agent analyzed requirements, recommended the correspondent-banking solution and architecture, challenged assumptions, contributed design/build guidance, and reviewed Copilot Agent (Flynn) deliverables.</w:t>
            </w:r>
          </w:p>
        </w:tc>
        <w:tc>
          <w:tcPr>
            <w:tcW w:type="dxa" w:w="3408"/>
            <w:shd w:fill="F4F7FA"/>
          </w:tcPr>
          <w:p>
            <w:r>
              <w:t>Copilot Agent (Flynn) reciprocal review plus reconciliation against authoritative research, project artifacts, runtime contracts, tests, and human decisions.</w:t>
            </w:r>
          </w:p>
        </w:tc>
      </w:tr>
      <w:tr>
        <w:tc>
          <w:tcPr>
            <w:tcW w:type="dxa" w:w="3408"/>
          </w:tcPr>
          <w:p>
            <w:pPr>
              <w:spacing w:after="20"/>
            </w:pPr>
            <w:r>
              <w:rPr>
                <w:sz w:val="16"/>
              </w:rPr>
              <w:t>Human team</w:t>
            </w:r>
          </w:p>
        </w:tc>
        <w:tc>
          <w:tcPr>
            <w:tcW w:type="dxa" w:w="3408"/>
          </w:tcPr>
          <w:p>
            <w:pPr>
              <w:spacing w:after="20"/>
            </w:pPr>
            <w:r>
              <w:rPr>
                <w:sz w:val="16"/>
              </w:rPr>
              <w:t>Selected scope, accepted/rejected Agent recommendations, ran commands, supplied evidence, completed Gate 1/Gate 2 actions, and retained the Gate 3 decision.</w:t>
            </w:r>
          </w:p>
        </w:tc>
        <w:tc>
          <w:tcPr>
            <w:tcW w:type="dxa" w:w="3408"/>
          </w:tcPr>
          <w:p>
            <w:pPr>
              <w:spacing w:after="20"/>
            </w:pPr>
            <w:r>
              <w:rPr>
                <w:sz w:val="16"/>
              </w:rPr>
              <w:t>Consequential authority stayed with humans.</w:t>
            </w:r>
          </w:p>
        </w:tc>
      </w:tr>
      <w:tr>
        <w:tc>
          <w:tcPr>
            <w:tcW w:type="dxa" w:w="3408"/>
            <w:shd w:fill="F4F7FA"/>
          </w:tcPr>
          <w:p>
            <w:pPr>
              <w:spacing w:after="20"/>
            </w:pPr>
            <w:r>
              <w:rPr>
                <w:sz w:val="16"/>
              </w:rPr>
              <w:t>Deterministic components</w:t>
            </w:r>
          </w:p>
        </w:tc>
        <w:tc>
          <w:tcPr>
            <w:tcW w:type="dxa" w:w="3408"/>
            <w:shd w:fill="F4F7FA"/>
          </w:tcPr>
          <w:p>
            <w:pPr>
              <w:spacing w:after="20"/>
            </w:pPr>
            <w:r>
              <w:rPr>
                <w:sz w:val="16"/>
              </w:rPr>
              <w:t>Parsed sources, normalized contracts, validated packages, mapped factors, admitted cases, and calculated scores.</w:t>
            </w:r>
          </w:p>
        </w:tc>
        <w:tc>
          <w:tcPr>
            <w:tcW w:type="dxa" w:w="3408"/>
            <w:shd w:fill="F4F7FA"/>
          </w:tcPr>
          <w:p>
            <w:pPr>
              <w:spacing w:after="20"/>
            </w:pPr>
            <w:r>
              <w:rPr>
                <w:sz w:val="16"/>
              </w:rPr>
              <w:t>Same controlled inputs and versions were intended to produce reproducible outputs; incomplete inputs failed closed.</w:t>
            </w:r>
          </w:p>
        </w:tc>
      </w:tr>
    </w:tbl>
    <w:p/>
    <w:p>
      <w:pPr>
        <w:pStyle w:val="Heading1"/>
      </w:pPr>
      <w:r>
        <w:t>2. Research stack and derivation of the MVP</w:t>
      </w:r>
    </w:p>
    <w:p>
      <w:r>
        <w:t>The research stack was intentionally layered. No source was treated as a complete scoring model. Regulations established duties and prohibitions. FATF supplied international risk context. FFIEC supplied an examiner-style risk-assessment method. Wolfsberg supplied a structured respondent questionnaire. The provider scoping form supplied facts only the provider could authoritatively state.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F5F"/>
          </w:tcPr>
          <w:p>
            <w:r>
              <w:rPr>
                <w:b/>
                <w:color w:val="FFFFFF"/>
                <w:sz w:val="16"/>
              </w:rPr>
              <w:t>Research source</w:t>
            </w:r>
          </w:p>
        </w:tc>
        <w:tc>
          <w:tcPr>
            <w:tcW w:type="dxa" w:w="2556"/>
            <w:shd w:fill="173F5F"/>
          </w:tcPr>
          <w:p>
            <w:r>
              <w:rPr>
                <w:b/>
                <w:color w:val="FFFFFF"/>
                <w:sz w:val="16"/>
              </w:rPr>
              <w:t>Why selected</w:t>
            </w:r>
          </w:p>
        </w:tc>
        <w:tc>
          <w:tcPr>
            <w:tcW w:type="dxa" w:w="2556"/>
            <w:shd w:fill="173F5F"/>
          </w:tcPr>
          <w:p>
            <w:r>
              <w:rPr>
                <w:b/>
                <w:color w:val="FFFFFF"/>
                <w:sz w:val="16"/>
              </w:rPr>
              <w:t>Alignment to the solution</w:t>
            </w:r>
          </w:p>
        </w:tc>
        <w:tc>
          <w:tcPr>
            <w:tcW w:type="dxa" w:w="2556"/>
            <w:shd w:fill="173F5F"/>
          </w:tcPr>
          <w:p>
            <w:r>
              <w:rPr>
                <w:b/>
                <w:color w:val="FFFFFF"/>
                <w:sz w:val="16"/>
              </w:rPr>
              <w:t>MVP derivation</w:t>
            </w:r>
          </w:p>
        </w:tc>
      </w:tr>
      <w:tr>
        <w:tc>
          <w:tcPr>
            <w:tcW w:type="dxa" w:w="2556"/>
          </w:tcPr>
          <w:p>
            <w:pPr>
              <w:spacing w:after="20"/>
            </w:pPr>
            <w:r>
              <w:rPr>
                <w:sz w:val="16"/>
              </w:rPr>
              <w:t>31 CFR 1010.610</w:t>
            </w:r>
          </w:p>
        </w:tc>
        <w:tc>
          <w:tcPr>
            <w:tcW w:type="dxa" w:w="2556"/>
          </w:tcPr>
          <w:p>
            <w:pPr>
              <w:spacing w:after="20"/>
            </w:pPr>
            <w:r>
              <w:rPr>
                <w:sz w:val="16"/>
              </w:rPr>
              <w:t>Directly addresses due diligence for U.S. correspondent accounts for foreign financial institutions. It requires specific, risk-based controls and identifies relevant factors: respondent business and markets, account type/purpose/anticipated activity, relationship context, licensing and AML/supervisory regime, and AML record. It also addresses enhanced scrutiny, periodic review, and procedures when due diligence cannot be completed.</w:t>
            </w:r>
          </w:p>
        </w:tc>
        <w:tc>
          <w:tcPr>
            <w:tcW w:type="dxa" w:w="2556"/>
          </w:tcPr>
          <w:p>
            <w:pPr>
              <w:spacing w:after="20"/>
            </w:pPr>
            <w:r>
              <w:rPr>
                <w:sz w:val="16"/>
              </w:rPr>
              <w:t>Drove relationship-scoping fields, jurisdiction/supervisory risk, respondent AML history, ownership/nesting/payable-through concerns, evidence states, review gates, and fail-closed admission.</w:t>
            </w:r>
          </w:p>
        </w:tc>
        <w:tc>
          <w:tcPr>
            <w:tcW w:type="dxa" w:w="2556"/>
          </w:tcPr>
          <w:p>
            <w:pPr>
              <w:spacing w:after="20"/>
            </w:pPr>
            <w:r>
              <w:rPr>
                <w:sz w:val="16"/>
              </w:rPr>
              <w:t>MVP covers onboarding assessment, evidence review, scoring authorization, and routing. Ongoing transaction monitoring, SAR operations, and production periodic review were excluded.</w:t>
            </w:r>
          </w:p>
        </w:tc>
      </w:tr>
      <w:tr>
        <w:tc>
          <w:tcPr>
            <w:tcW w:type="dxa" w:w="2556"/>
            <w:shd w:fill="F4F7FA"/>
          </w:tcPr>
          <w:p>
            <w:pPr>
              <w:spacing w:after="20"/>
            </w:pPr>
            <w:r>
              <w:rPr>
                <w:sz w:val="16"/>
              </w:rPr>
              <w:t>31 CFR 1010.630</w:t>
            </w:r>
          </w:p>
        </w:tc>
        <w:tc>
          <w:tcPr>
            <w:tcW w:type="dxa" w:w="2556"/>
            <w:shd w:fill="F4F7FA"/>
          </w:tcPr>
          <w:p>
            <w:pPr>
              <w:spacing w:after="20"/>
            </w:pPr>
            <w:r>
              <w:rPr>
                <w:sz w:val="16"/>
              </w:rPr>
              <w:t>Creates a hard prohibition on foreign shell-bank correspondent accounts, requires reasonable steps against indirect shell-bank access, and establishes ownership, U.S. agent, certification, closure, and recordkeeping expectations.</w:t>
            </w:r>
          </w:p>
        </w:tc>
        <w:tc>
          <w:tcPr>
            <w:tcW w:type="dxa" w:w="2556"/>
            <w:shd w:fill="F4F7FA"/>
          </w:tcPr>
          <w:p>
            <w:pPr>
              <w:spacing w:after="20"/>
            </w:pPr>
            <w:r>
              <w:rPr>
                <w:sz w:val="16"/>
              </w:rPr>
              <w:t>Justified separate hard exclusions before weighted scoring and questions on shell banks, downstream use, ownership, and supporting records.</w:t>
            </w:r>
          </w:p>
        </w:tc>
        <w:tc>
          <w:tcPr>
            <w:tcW w:type="dxa" w:w="2556"/>
            <w:shd w:fill="F4F7FA"/>
          </w:tcPr>
          <w:p>
            <w:pPr>
              <w:spacing w:after="20"/>
            </w:pPr>
            <w:r>
              <w:rPr>
                <w:sz w:val="16"/>
              </w:rPr>
              <w:t>MVP models shell-bank-related candidate exclusions and Gate 1 determinations. Full certification, legal-process, closure, and retention operations were not implemented.</w:t>
            </w:r>
          </w:p>
        </w:tc>
      </w:tr>
      <w:tr>
        <w:tc>
          <w:tcPr>
            <w:tcW w:type="dxa" w:w="2556"/>
          </w:tcPr>
          <w:p>
            <w:pPr>
              <w:spacing w:after="20"/>
            </w:pPr>
            <w:r>
              <w:rPr>
                <w:sz w:val="16"/>
              </w:rPr>
              <w:t>FATF correspondent-banking and risk-based material</w:t>
            </w:r>
          </w:p>
        </w:tc>
        <w:tc>
          <w:tcPr>
            <w:tcW w:type="dxa" w:w="2556"/>
          </w:tcPr>
          <w:p>
            <w:pPr>
              <w:spacing w:after="20"/>
            </w:pPr>
            <w:r>
              <w:rPr>
                <w:sz w:val="16"/>
              </w:rPr>
              <w:t>Provides international AML/CFT context for nested relationships, respondent customers, beneficial ownership, jurisdictional/supervisory weakness, sanctions exposure, and enhanced due diligence.</w:t>
            </w:r>
          </w:p>
        </w:tc>
        <w:tc>
          <w:tcPr>
            <w:tcW w:type="dxa" w:w="2556"/>
          </w:tcPr>
          <w:p>
            <w:pPr>
              <w:spacing w:after="20"/>
            </w:pPr>
            <w:r>
              <w:rPr>
                <w:sz w:val="16"/>
              </w:rPr>
              <w:t>Helped define risk themes, challenge generic vendor risk, and justify correspondent banking as the bounded use case.</w:t>
            </w:r>
          </w:p>
        </w:tc>
        <w:tc>
          <w:tcPr>
            <w:tcW w:type="dxa" w:w="2556"/>
          </w:tcPr>
          <w:p>
            <w:pPr>
              <w:spacing w:after="20"/>
            </w:pPr>
            <w:r>
              <w:rPr>
                <w:sz w:val="16"/>
              </w:rPr>
              <w:t>Used for factor rationale and triangulation, not as a numeric formula or automated jurisdiction list.</w:t>
            </w:r>
          </w:p>
        </w:tc>
      </w:tr>
      <w:tr>
        <w:tc>
          <w:tcPr>
            <w:tcW w:type="dxa" w:w="2556"/>
            <w:shd w:fill="F4F7FA"/>
          </w:tcPr>
          <w:p>
            <w:pPr>
              <w:spacing w:after="20"/>
            </w:pPr>
            <w:r>
              <w:rPr>
                <w:sz w:val="16"/>
              </w:rPr>
              <w:t>FFIEC BSA/AML method</w:t>
            </w:r>
          </w:p>
        </w:tc>
        <w:tc>
          <w:tcPr>
            <w:tcW w:type="dxa" w:w="2556"/>
            <w:shd w:fill="F4F7FA"/>
          </w:tcPr>
          <w:p>
            <w:pPr>
              <w:spacing w:after="20"/>
            </w:pPr>
            <w:r>
              <w:rPr>
                <w:sz w:val="16"/>
              </w:rPr>
              <w:t>Provides an examiner-style method for considering inherent risk, controls, evidence, testing, internal controls, and documentation.</w:t>
            </w:r>
          </w:p>
        </w:tc>
        <w:tc>
          <w:tcPr>
            <w:tcW w:type="dxa" w:w="2556"/>
            <w:shd w:fill="F4F7FA"/>
          </w:tcPr>
          <w:p>
            <w:pPr>
              <w:spacing w:after="20"/>
            </w:pPr>
            <w:r>
              <w:rPr>
                <w:sz w:val="16"/>
              </w:rPr>
              <w:t>Influenced the separation of inherent factors F1-F6 and control domains C1-C4, evidence tiers, deterministic scoring trace, human gates, and negative/boundary tests.</w:t>
            </w:r>
          </w:p>
        </w:tc>
        <w:tc>
          <w:tcPr>
            <w:tcW w:type="dxa" w:w="2556"/>
            <w:shd w:fill="F4F7FA"/>
          </w:tcPr>
          <w:p>
            <w:pPr>
              <w:spacing w:after="20"/>
            </w:pPr>
            <w:r>
              <w:rPr>
                <w:sz w:val="16"/>
              </w:rPr>
              <w:t>Adapted into a small configuration-driven engine. The project does not claim an official FFIEC scoring formula.</w:t>
            </w:r>
          </w:p>
        </w:tc>
      </w:tr>
      <w:tr>
        <w:tc>
          <w:tcPr>
            <w:tcW w:type="dxa" w:w="2556"/>
          </w:tcPr>
          <w:p>
            <w:pPr>
              <w:spacing w:after="20"/>
            </w:pPr>
            <w:r>
              <w:rPr>
                <w:sz w:val="16"/>
              </w:rPr>
              <w:t>Wolfsberg CBDDQ V1.4</w:t>
            </w:r>
          </w:p>
        </w:tc>
        <w:tc>
          <w:tcPr>
            <w:tcW w:type="dxa" w:w="2556"/>
          </w:tcPr>
          <w:p>
            <w:pPr>
              <w:spacing w:after="20"/>
            </w:pPr>
            <w:r>
              <w:rPr>
                <w:sz w:val="16"/>
              </w:rPr>
              <w:t>Provides a recognized correspondent-banking questionnaire with stable identifiers and coverage of ownership, products, AML governance, sanctions, monitoring, customer risk, and controls.</w:t>
            </w:r>
          </w:p>
        </w:tc>
        <w:tc>
          <w:tcPr>
            <w:tcW w:type="dxa" w:w="2556"/>
          </w:tcPr>
          <w:p>
            <w:pPr>
              <w:spacing w:after="20"/>
            </w:pPr>
            <w:r>
              <w:rPr>
                <w:sz w:val="16"/>
              </w:rPr>
              <w:t>Became the respondent-owned input and provided field-level references for the canonical source register.</w:t>
            </w:r>
          </w:p>
        </w:tc>
        <w:tc>
          <w:tcPr>
            <w:tcW w:type="dxa" w:w="2556"/>
          </w:tcPr>
          <w:p>
            <w:pPr>
              <w:spacing w:after="20"/>
            </w:pPr>
            <w:r>
              <w:rPr>
                <w:sz w:val="16"/>
              </w:rPr>
              <w:t>Reused instead of inventing a new respondent questionnaire; only material facts and mappings needed for the selected synthetic case were taken downstream.</w:t>
            </w:r>
          </w:p>
        </w:tc>
      </w:tr>
      <w:tr>
        <w:tc>
          <w:tcPr>
            <w:tcW w:type="dxa" w:w="2556"/>
            <w:shd w:fill="F4F7FA"/>
          </w:tcPr>
          <w:p>
            <w:pPr>
              <w:spacing w:after="20"/>
            </w:pPr>
            <w:r>
              <w:rPr>
                <w:sz w:val="16"/>
              </w:rPr>
              <w:t>Relationship Scoping Form</w:t>
            </w:r>
          </w:p>
        </w:tc>
        <w:tc>
          <w:tcPr>
            <w:tcW w:type="dxa" w:w="2556"/>
            <w:shd w:fill="F4F7FA"/>
          </w:tcPr>
          <w:p>
            <w:pPr>
              <w:spacing w:after="20"/>
            </w:pPr>
            <w:r>
              <w:rPr>
                <w:sz w:val="16"/>
              </w:rPr>
              <w:t>The respondent cannot authoritatively define the provider’s intended services, restrictions, anticipated values/volumes, internal screening, evidence receipt, or relationship rationale.</w:t>
            </w:r>
          </w:p>
        </w:tc>
        <w:tc>
          <w:tcPr>
            <w:tcW w:type="dxa" w:w="2556"/>
            <w:shd w:fill="F4F7FA"/>
          </w:tcPr>
          <w:p>
            <w:pPr>
              <w:spacing w:after="20"/>
            </w:pPr>
            <w:r>
              <w:rPr>
                <w:sz w:val="16"/>
              </w:rPr>
              <w:t>Created a provider-owned companion input and enabled cross-source reconciliation.</w:t>
            </w:r>
          </w:p>
        </w:tc>
        <w:tc>
          <w:tcPr>
            <w:tcW w:type="dxa" w:w="2556"/>
            <w:shd w:fill="F4F7FA"/>
          </w:tcPr>
          <w:p>
            <w:pPr>
              <w:spacing w:after="20"/>
            </w:pPr>
            <w:r>
              <w:rPr>
                <w:sz w:val="16"/>
              </w:rPr>
              <w:t>Focused on one relationship and one onboarding decision, not a universal enterprise workflow.</w:t>
            </w:r>
          </w:p>
        </w:tc>
      </w:tr>
    </w:tbl>
    <w:p/>
    <w:p>
      <w:r>
        <w:t>MVP derivation: the team retained the smallest set of capabilities that could still prove a governed decision path: one synthetic correspondent-onboarding case, two controlled input perspectives, semantic extraction, deterministic source registration and validation, explicit hard exclusions, configuration-driven scoring, three human gates, a committee memo, and retained evidence. Broader change types, live integrations, production monitoring, formal policy promotion, and scale engineering were deferred.</w:t>
      </w:r>
    </w:p>
    <w:p>
      <w:pPr>
        <w:pStyle w:val="Heading1"/>
      </w:pPr>
      <w:r>
        <w:t>3. DISCOVER</w:t>
      </w:r>
    </w:p>
    <w:p>
      <w:pPr>
        <w:pStyle w:val="ListBullet"/>
      </w:pPr>
      <w:r>
        <w:t>The initial direction was generic third-party vendor onboarding.</w:t>
      </w:r>
    </w:p>
    <w:p>
      <w:pPr>
        <w:pStyle w:val="ListBullet"/>
      </w:pPr>
      <w:r>
        <w:t>Copilot Agent (Flynn) and Claude Agent each analyzed the brief, candidate domains, source authority, and what could be proven.</w:t>
      </w:r>
    </w:p>
    <w:p>
      <w:pPr>
        <w:pStyle w:val="ListBullet"/>
      </w:pPr>
      <w:r>
        <w:t>The Agents checked each other’s requirements interpretation and solution recommendations.</w:t>
      </w:r>
    </w:p>
    <w:p>
      <w:pPr>
        <w:pStyle w:val="ListBullet"/>
      </w:pPr>
      <w:r>
        <w:t>Research showed that the contemplated vendor-risk path and an inapplicable FATF outsourcing citation did not provide the needed decision authority.</w:t>
      </w:r>
    </w:p>
    <w:p>
      <w:pPr>
        <w:pStyle w:val="ListBullet"/>
      </w:pPr>
      <w:r>
        <w:t>The human team changed scope to correspondent-banking respondent onboarding.</w:t>
      </w:r>
    </w:p>
    <w:tbl>
      <w:tblPr>
        <w:tblStyle w:val="TableGrid"/>
        <w:tblW w:type="auto" w:w="0"/>
        <w:jc w:val="center"/>
        <w:tblLook w:firstColumn="1" w:firstRow="1" w:lastColumn="0" w:lastRow="0" w:noHBand="0" w:noVBand="1" w:val="04A0"/>
      </w:tblPr>
      <w:tblGrid>
        <w:gridCol w:w="5112"/>
        <w:gridCol w:w="5112"/>
      </w:tblGrid>
      <w:tr>
        <w:tc>
          <w:tcPr>
            <w:tcW w:type="dxa" w:w="5112"/>
            <w:shd w:fill="173F5F"/>
          </w:tcPr>
          <w:p>
            <w:r>
              <w:rPr>
                <w:b/>
                <w:color w:val="FFFFFF"/>
                <w:sz w:val="16"/>
              </w:rPr>
              <w:t>Output</w:t>
            </w:r>
          </w:p>
        </w:tc>
        <w:tc>
          <w:tcPr>
            <w:tcW w:type="dxa" w:w="5112"/>
            <w:shd w:fill="173F5F"/>
          </w:tcPr>
          <w:p>
            <w:r>
              <w:rPr>
                <w:b/>
                <w:color w:val="FFFFFF"/>
                <w:sz w:val="16"/>
              </w:rPr>
              <w:t>Proof</w:t>
            </w:r>
          </w:p>
        </w:tc>
      </w:tr>
      <w:tr>
        <w:tc>
          <w:tcPr>
            <w:tcW w:type="dxa" w:w="5112"/>
          </w:tcPr>
          <w:p>
            <w:pPr>
              <w:spacing w:after="20"/>
            </w:pPr>
            <w:r>
              <w:rPr>
                <w:sz w:val="16"/>
              </w:rPr>
              <w:t>Derivation executive summary</w:t>
            </w:r>
          </w:p>
        </w:tc>
        <w:tc>
          <w:tcPr>
            <w:tcW w:type="dxa" w:w="5112"/>
          </w:tcPr>
          <w:p>
            <w:pPr>
              <w:spacing w:after="20"/>
            </w:pPr>
            <w:r>
              <w:rPr>
                <w:sz w:val="16"/>
              </w:rPr>
              <w:t>Records rejected paths, scope correction, research rationale, and architecture.</w:t>
            </w:r>
          </w:p>
        </w:tc>
      </w:tr>
      <w:tr>
        <w:tc>
          <w:tcPr>
            <w:tcW w:type="dxa" w:w="5112"/>
            <w:shd w:fill="F4F7FA"/>
          </w:tcPr>
          <w:p>
            <w:pPr>
              <w:spacing w:after="20"/>
            </w:pPr>
            <w:r>
              <w:rPr>
                <w:sz w:val="16"/>
              </w:rPr>
              <w:t>Scope decisions</w:t>
            </w:r>
          </w:p>
        </w:tc>
        <w:tc>
          <w:tcPr>
            <w:tcW w:type="dxa" w:w="5112"/>
            <w:shd w:fill="F4F7FA"/>
          </w:tcPr>
          <w:p>
            <w:pPr>
              <w:spacing w:after="20"/>
            </w:pPr>
            <w:r>
              <w:rPr>
                <w:sz w:val="16"/>
              </w:rPr>
              <w:t>One complete change type, relationship-level assessment, and written-agreement boundary.</w:t>
            </w:r>
          </w:p>
        </w:tc>
      </w:tr>
      <w:tr>
        <w:tc>
          <w:tcPr>
            <w:tcW w:type="dxa" w:w="5112"/>
          </w:tcPr>
          <w:p>
            <w:pPr>
              <w:spacing w:after="20"/>
            </w:pPr>
            <w:r>
              <w:rPr>
                <w:sz w:val="16"/>
              </w:rPr>
              <w:t>Research stack</w:t>
            </w:r>
          </w:p>
        </w:tc>
        <w:tc>
          <w:tcPr>
            <w:tcW w:type="dxa" w:w="5112"/>
          </w:tcPr>
          <w:p>
            <w:pPr>
              <w:spacing w:after="20"/>
            </w:pPr>
            <w:r>
              <w:rPr>
                <w:sz w:val="16"/>
              </w:rPr>
              <w:t>Regulation, FATF context, FFIEC method, Wolfsberg intake, and provider scope.</w:t>
            </w:r>
          </w:p>
        </w:tc>
      </w:tr>
    </w:tbl>
    <w:p/>
    <w:p>
      <w:pPr>
        <w:pStyle w:val="Heading1"/>
      </w:pPr>
      <w:r>
        <w:t>4. DEFINE</w:t>
      </w:r>
    </w:p>
    <w:p>
      <w:pPr>
        <w:pStyle w:val="ListBullet"/>
      </w:pPr>
      <w:r>
        <w:t>The challenge brief was expanded into 45 requirements with Built, Partial, Deferred, and Open states.</w:t>
      </w:r>
    </w:p>
    <w:p>
      <w:pPr>
        <w:pStyle w:val="ListBullet"/>
      </w:pPr>
      <w:r>
        <w:t>Assumptions, dependencies, risks, success criteria, and five open governance decisions were recorded.</w:t>
      </w:r>
    </w:p>
    <w:p>
      <w:pPr>
        <w:pStyle w:val="ListBullet"/>
      </w:pPr>
      <w:r>
        <w:t>Copilot Agent (Flynn) and Claude Agent both recommended the solution and architecture and checked each other’s requirement and design outputs.</w:t>
      </w:r>
    </w:p>
    <w:p>
      <w:pPr>
        <w:pStyle w:val="ListBullet"/>
      </w:pPr>
      <w:r>
        <w:t>The human team accepted, changed, deferred, or left items open based on authority, evidence, time, and build constraints.</w:t>
      </w:r>
    </w:p>
    <w:tbl>
      <w:tblPr>
        <w:tblStyle w:val="TableGrid"/>
        <w:tblW w:type="auto" w:w="0"/>
        <w:jc w:val="center"/>
        <w:tblLook w:firstColumn="1" w:firstRow="1" w:lastColumn="0" w:lastRow="0" w:noHBand="0" w:noVBand="1" w:val="04A0"/>
      </w:tblPr>
      <w:tblGrid>
        <w:gridCol w:w="5112"/>
        <w:gridCol w:w="5112"/>
      </w:tblGrid>
      <w:tr>
        <w:tc>
          <w:tcPr>
            <w:tcW w:type="dxa" w:w="5112"/>
            <w:shd w:fill="173F5F"/>
          </w:tcPr>
          <w:p>
            <w:r>
              <w:rPr>
                <w:b/>
                <w:color w:val="FFFFFF"/>
                <w:sz w:val="16"/>
              </w:rPr>
              <w:t>Evidence</w:t>
            </w:r>
          </w:p>
        </w:tc>
        <w:tc>
          <w:tcPr>
            <w:tcW w:type="dxa" w:w="5112"/>
            <w:shd w:fill="173F5F"/>
          </w:tcPr>
          <w:p>
            <w:r>
              <w:rPr>
                <w:b/>
                <w:color w:val="FFFFFF"/>
                <w:sz w:val="16"/>
              </w:rPr>
              <w:t>What it proves</w:t>
            </w:r>
          </w:p>
        </w:tc>
      </w:tr>
      <w:tr>
        <w:tc>
          <w:tcPr>
            <w:tcW w:type="dxa" w:w="5112"/>
          </w:tcPr>
          <w:p>
            <w:pPr>
              <w:spacing w:after="20"/>
            </w:pPr>
            <w:r>
              <w:rPr>
                <w:sz w:val="16"/>
              </w:rPr>
              <w:t>Expanded Requirements and MVP Traceability</w:t>
            </w:r>
          </w:p>
        </w:tc>
        <w:tc>
          <w:tcPr>
            <w:tcW w:type="dxa" w:w="5112"/>
          </w:tcPr>
          <w:p>
            <w:pPr>
              <w:spacing w:after="20"/>
            </w:pPr>
            <w:r>
              <w:rPr>
                <w:sz w:val="16"/>
              </w:rPr>
              <w:t>The incomplete brief was converted into testable statements and a traceability view.</w:t>
            </w:r>
          </w:p>
        </w:tc>
      </w:tr>
      <w:tr>
        <w:tc>
          <w:tcPr>
            <w:tcW w:type="dxa" w:w="5112"/>
            <w:shd w:fill="F4F7FA"/>
          </w:tcPr>
          <w:p>
            <w:pPr>
              <w:spacing w:after="20"/>
            </w:pPr>
            <w:r>
              <w:rPr>
                <w:sz w:val="16"/>
              </w:rPr>
              <w:t>Open-item register</w:t>
            </w:r>
          </w:p>
        </w:tc>
        <w:tc>
          <w:tcPr>
            <w:tcW w:type="dxa" w:w="5112"/>
            <w:shd w:fill="F4F7FA"/>
          </w:tcPr>
          <w:p>
            <w:pPr>
              <w:spacing w:after="20"/>
            </w:pPr>
            <w:r>
              <w:rPr>
                <w:sz w:val="16"/>
              </w:rPr>
              <w:t>Unresolved decisions were exposed rather than silently assumed.</w:t>
            </w:r>
          </w:p>
        </w:tc>
      </w:tr>
      <w:tr>
        <w:tc>
          <w:tcPr>
            <w:tcW w:type="dxa" w:w="5112"/>
          </w:tcPr>
          <w:p>
            <w:pPr>
              <w:spacing w:after="20"/>
            </w:pPr>
            <w:r>
              <w:rPr>
                <w:sz w:val="16"/>
              </w:rPr>
              <w:t>Success measures</w:t>
            </w:r>
          </w:p>
        </w:tc>
        <w:tc>
          <w:tcPr>
            <w:tcW w:type="dxa" w:w="5112"/>
          </w:tcPr>
          <w:p>
            <w:pPr>
              <w:spacing w:after="20"/>
            </w:pPr>
            <w:r>
              <w:rPr>
                <w:sz w:val="16"/>
              </w:rPr>
              <w:t>Completeness, source resolution, deterministic validation, reproducibility, routing, memo quality, and retained evidence.</w:t>
            </w:r>
          </w:p>
        </w:tc>
      </w:tr>
    </w:tbl>
    <w:p/>
    <w:p>
      <w:pPr>
        <w:pStyle w:val="Heading1"/>
      </w:pPr>
      <w:r>
        <w:t>5. DESIGN</w:t>
      </w:r>
    </w:p>
    <w:p>
      <w:pPr>
        <w:pStyle w:val="ListBullet"/>
      </w:pPr>
      <w:r>
        <w:t>The architecture rule became: Agents interpret and draft; deterministic code validates and calculates; authorized humans review and decide.</w:t>
      </w:r>
    </w:p>
    <w:p>
      <w:pPr>
        <w:pStyle w:val="ListBullet"/>
      </w:pPr>
      <w:r>
        <w:t>Copilot Agent (Flynn) and Claude Agent recommended and cross-reviewed the controlled three-layer architecture.</w:t>
      </w:r>
    </w:p>
    <w:p>
      <w:pPr>
        <w:pStyle w:val="ListBullet"/>
      </w:pPr>
      <w:r>
        <w:t>The Intake Analyzer was prohibited from official scoring or approval. The Memo Creator was prohibited from recalculating scores or making/saving a committee decision.</w:t>
      </w:r>
    </w:p>
    <w:p>
      <w:pPr>
        <w:pStyle w:val="ListBullet"/>
      </w:pPr>
      <w:r>
        <w:t>Hard exclusions were separated from weighted risk. A 20% residual floor prevented controls from eliminating inherent risk.</w:t>
      </w:r>
    </w:p>
    <w:p>
      <w:pPr>
        <w:pStyle w:val="ListBullet"/>
      </w:pPr>
      <w:r>
        <w:t>Power Apps was considered but removed because credits were unavailable; file-based packets, Excel, Node.js, PowerShell, and self-contained HTML were used instead.</w:t>
      </w:r>
    </w:p>
    <w:tbl>
      <w:tblPr>
        <w:tblStyle w:val="TableGrid"/>
        <w:tblW w:type="auto" w:w="0"/>
        <w:jc w:val="center"/>
        <w:tblLook w:firstColumn="1" w:firstRow="1" w:lastColumn="0" w:lastRow="0" w:noHBand="0" w:noVBand="1" w:val="04A0"/>
      </w:tblPr>
      <w:tblGrid>
        <w:gridCol w:w="5112"/>
        <w:gridCol w:w="5112"/>
      </w:tblGrid>
      <w:tr>
        <w:tc>
          <w:tcPr>
            <w:tcW w:type="dxa" w:w="5112"/>
            <w:shd w:fill="173F5F"/>
          </w:tcPr>
          <w:p>
            <w:r>
              <w:rPr>
                <w:b/>
                <w:color w:val="FFFFFF"/>
                <w:sz w:val="16"/>
              </w:rPr>
              <w:t>Design decision</w:t>
            </w:r>
          </w:p>
        </w:tc>
        <w:tc>
          <w:tcPr>
            <w:tcW w:type="dxa" w:w="5112"/>
            <w:shd w:fill="173F5F"/>
          </w:tcPr>
          <w:p>
            <w:r>
              <w:rPr>
                <w:b/>
                <w:color w:val="FFFFFF"/>
                <w:sz w:val="16"/>
              </w:rPr>
              <w:t>Result</w:t>
            </w:r>
          </w:p>
        </w:tc>
      </w:tr>
      <w:tr>
        <w:tc>
          <w:tcPr>
            <w:tcW w:type="dxa" w:w="5112"/>
          </w:tcPr>
          <w:p>
            <w:pPr>
              <w:spacing w:after="20"/>
            </w:pPr>
            <w:r>
              <w:rPr>
                <w:sz w:val="16"/>
              </w:rPr>
              <w:t>Two source instruments</w:t>
            </w:r>
          </w:p>
        </w:tc>
        <w:tc>
          <w:tcPr>
            <w:tcW w:type="dxa" w:w="5112"/>
          </w:tcPr>
          <w:p>
            <w:pPr>
              <w:spacing w:after="20"/>
            </w:pPr>
            <w:r>
              <w:rPr>
                <w:sz w:val="16"/>
              </w:rPr>
              <w:t>Respondent assertions and provider-owned relationship facts remained distinct.</w:t>
            </w:r>
          </w:p>
        </w:tc>
      </w:tr>
      <w:tr>
        <w:tc>
          <w:tcPr>
            <w:tcW w:type="dxa" w:w="5112"/>
            <w:shd w:fill="F4F7FA"/>
          </w:tcPr>
          <w:p>
            <w:pPr>
              <w:spacing w:after="20"/>
            </w:pPr>
            <w:r>
              <w:rPr>
                <w:sz w:val="16"/>
              </w:rPr>
              <w:t>Three human gates</w:t>
            </w:r>
          </w:p>
        </w:tc>
        <w:tc>
          <w:tcPr>
            <w:tcW w:type="dxa" w:w="5112"/>
            <w:shd w:fill="F4F7FA"/>
          </w:tcPr>
          <w:p>
            <w:pPr>
              <w:spacing w:after="20"/>
            </w:pPr>
            <w:r>
              <w:rPr>
                <w:sz w:val="16"/>
              </w:rPr>
              <w:t>Evidence acceptance, assessment disposition, and consequential committee decision remained accountable.</w:t>
            </w:r>
          </w:p>
        </w:tc>
      </w:tr>
      <w:tr>
        <w:tc>
          <w:tcPr>
            <w:tcW w:type="dxa" w:w="5112"/>
          </w:tcPr>
          <w:p>
            <w:pPr>
              <w:spacing w:after="20"/>
            </w:pPr>
            <w:r>
              <w:rPr>
                <w:sz w:val="16"/>
              </w:rPr>
              <w:t>Versioned packet contracts</w:t>
            </w:r>
          </w:p>
        </w:tc>
        <w:tc>
          <w:tcPr>
            <w:tcW w:type="dxa" w:w="5112"/>
          </w:tcPr>
          <w:p>
            <w:pPr>
              <w:spacing w:after="20"/>
            </w:pPr>
            <w:r>
              <w:rPr>
                <w:sz w:val="16"/>
              </w:rPr>
              <w:t>Components could be independently inspected and tested.</w:t>
            </w:r>
          </w:p>
        </w:tc>
      </w:tr>
      <w:tr>
        <w:tc>
          <w:tcPr>
            <w:tcW w:type="dxa" w:w="5112"/>
            <w:shd w:fill="F4F7FA"/>
          </w:tcPr>
          <w:p>
            <w:pPr>
              <w:spacing w:after="20"/>
            </w:pPr>
            <w:r>
              <w:rPr>
                <w:sz w:val="16"/>
              </w:rPr>
              <w:t>Deterministic score path</w:t>
            </w:r>
          </w:p>
        </w:tc>
        <w:tc>
          <w:tcPr>
            <w:tcW w:type="dxa" w:w="5112"/>
            <w:shd w:fill="F4F7FA"/>
          </w:tcPr>
          <w:p>
            <w:pPr>
              <w:spacing w:after="20"/>
            </w:pPr>
            <w:r>
              <w:rPr>
                <w:sz w:val="16"/>
              </w:rPr>
              <w:t>No model call, randomness, current-clock dependency, or network dependency in official scoring.</w:t>
            </w:r>
          </w:p>
        </w:tc>
      </w:tr>
    </w:tbl>
    <w:p/>
    <w:p>
      <w:pPr>
        <w:pStyle w:val="Heading1"/>
      </w:pPr>
      <w:r>
        <w:t>6. BUILD</w:t>
      </w:r>
    </w:p>
    <w:p>
      <w:pPr>
        <w:pStyle w:val="ListBullet"/>
      </w:pPr>
      <w:r>
        <w:t>The Intake Analyzer generated semantic facts, control assessments, exceptions, hard-exclusion candidates, and a Draft Gate 1 package.</w:t>
      </w:r>
    </w:p>
    <w:p>
      <w:pPr>
        <w:pStyle w:val="ListBullet"/>
      </w:pPr>
      <w:r>
        <w:t>The Validator generated a 201-record canonical source register and ran 17 package checks in earlier execution evidence.</w:t>
      </w:r>
    </w:p>
    <w:p>
      <w:pPr>
        <w:pStyle w:val="ListBullet"/>
      </w:pPr>
      <w:r>
        <w:t>The deterministic workflow used PowerShell extraction and Node.js modules for decision resolution, admission, mapping, scoring, and orchestration.</w:t>
      </w:r>
    </w:p>
    <w:p>
      <w:pPr>
        <w:pStyle w:val="ListBullet"/>
      </w:pPr>
      <w:r>
        <w:t>Gate 1 and Gate 2 review artifacts were created. The active Gate 1 runtime decision was JSON.</w:t>
      </w:r>
    </w:p>
    <w:p>
      <w:pPr>
        <w:pStyle w:val="ListBullet"/>
      </w:pPr>
      <w:r>
        <w:t>The Gate 3 Memo Creator produced a 16-section memo, self-check, and non-persistent HTML with blank human decision fields.</w:t>
      </w:r>
    </w:p>
    <w:p>
      <w:pPr>
        <w:pStyle w:val="ListBullet"/>
      </w:pPr>
      <w:r>
        <w:t>Copilot Agent (Flynn) and Claude Agent reviewed the other Agent’s deliverables; runtime behavior and tests were the deciding evidence.</w:t>
      </w:r>
    </w:p>
    <w:p>
      <w:pPr>
        <w:pStyle w:val="Heading1"/>
      </w:pPr>
      <w:r>
        <w:t>7. TEST</w:t>
      </w:r>
    </w:p>
    <w:p>
      <w:r>
        <w:t>Testing intentionally retained both failure and recovery evidence. Earlier records showed blocked candidate mappings, incomplete Gate 1 arrays, version drift, unresolved exclusions, and an unproven positive path. Later evidence shows correction and successful rerun.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F5F"/>
          </w:tcPr>
          <w:p>
            <w:r>
              <w:rPr>
                <w:b/>
                <w:color w:val="FFFFFF"/>
                <w:sz w:val="16"/>
              </w:rPr>
              <w:t>Failure or test</w:t>
            </w:r>
          </w:p>
        </w:tc>
        <w:tc>
          <w:tcPr>
            <w:tcW w:type="dxa" w:w="3408"/>
            <w:shd w:fill="173F5F"/>
          </w:tcPr>
          <w:p>
            <w:r>
              <w:rPr>
                <w:b/>
                <w:color w:val="FFFFFF"/>
                <w:sz w:val="16"/>
              </w:rPr>
              <w:t>Observed evidence</w:t>
            </w:r>
          </w:p>
        </w:tc>
        <w:tc>
          <w:tcPr>
            <w:tcW w:type="dxa" w:w="3408"/>
            <w:shd w:fill="173F5F"/>
          </w:tcPr>
          <w:p>
            <w:r>
              <w:rPr>
                <w:b/>
                <w:color w:val="FFFFFF"/>
                <w:sz w:val="16"/>
              </w:rPr>
              <w:t>Correction / result</w:t>
            </w:r>
          </w:p>
        </w:tc>
      </w:tr>
      <w:tr>
        <w:tc>
          <w:tcPr>
            <w:tcW w:type="dxa" w:w="3408"/>
          </w:tcPr>
          <w:p>
            <w:pPr>
              <w:spacing w:after="20"/>
            </w:pPr>
            <w:r>
              <w:rPr>
                <w:sz w:val="16"/>
              </w:rPr>
              <w:t>Mapping/evidence incompleteness</w:t>
            </w:r>
          </w:p>
        </w:tc>
        <w:tc>
          <w:tcPr>
            <w:tcW w:type="dxa" w:w="3408"/>
          </w:tcPr>
          <w:p>
            <w:pPr>
              <w:spacing w:after="20"/>
            </w:pPr>
            <w:r>
              <w:rPr>
                <w:sz w:val="16"/>
              </w:rPr>
              <w:t>Scoring and Gate 3 progression blocked.</w:t>
            </w:r>
          </w:p>
        </w:tc>
        <w:tc>
          <w:tcPr>
            <w:tcW w:type="dxa" w:w="3408"/>
          </w:tcPr>
          <w:p>
            <w:pPr>
              <w:spacing w:after="20"/>
            </w:pPr>
            <w:r>
              <w:rPr>
                <w:sz w:val="16"/>
              </w:rPr>
              <w:t>Inputs, mappings, evidence states, and decisions synchronized.</w:t>
            </w:r>
          </w:p>
        </w:tc>
      </w:tr>
      <w:tr>
        <w:tc>
          <w:tcPr>
            <w:tcW w:type="dxa" w:w="3408"/>
            <w:shd w:fill="F4F7FA"/>
          </w:tcPr>
          <w:p>
            <w:pPr>
              <w:spacing w:after="20"/>
            </w:pPr>
            <w:r>
              <w:rPr>
                <w:sz w:val="16"/>
              </w:rPr>
              <w:t>PowerShell-to-Node collection mismatch</w:t>
            </w:r>
          </w:p>
        </w:tc>
        <w:tc>
          <w:tcPr>
            <w:tcW w:type="dxa" w:w="3408"/>
            <w:shd w:fill="F4F7FA"/>
          </w:tcPr>
          <w:p>
            <w:pPr>
              <w:spacing w:after="20"/>
            </w:pPr>
            <w:r>
              <w:rPr>
                <w:sz w:val="16"/>
              </w:rPr>
              <w:t>Node TypeError because a wrapper object was not iterable.</w:t>
            </w:r>
          </w:p>
        </w:tc>
        <w:tc>
          <w:tcPr>
            <w:tcW w:type="dxa" w:w="3408"/>
            <w:shd w:fill="F4F7FA"/>
          </w:tcPr>
          <w:p>
            <w:pPr>
              <w:spacing w:after="20"/>
            </w:pPr>
            <w:r>
              <w:rPr>
                <w:sz w:val="16"/>
              </w:rPr>
              <w:t>Extractor normalized and verified the candidate array; retest PASS.</w:t>
            </w:r>
          </w:p>
        </w:tc>
      </w:tr>
      <w:tr>
        <w:tc>
          <w:tcPr>
            <w:tcW w:type="dxa" w:w="3408"/>
          </w:tcPr>
          <w:p>
            <w:pPr>
              <w:spacing w:after="20"/>
            </w:pPr>
            <w:r>
              <w:rPr>
                <w:sz w:val="16"/>
              </w:rPr>
              <w:t>Wrong Gate 1 JSON nesting and fields</w:t>
            </w:r>
          </w:p>
        </w:tc>
        <w:tc>
          <w:tcPr>
            <w:tcW w:type="dxa" w:w="3408"/>
          </w:tcPr>
          <w:p>
            <w:pPr>
              <w:spacing w:after="20"/>
            </w:pPr>
            <w:r>
              <w:rPr>
                <w:sz w:val="16"/>
              </w:rPr>
              <w:t>Decision loaded but exclusions remained UNKNOWN.</w:t>
            </w:r>
          </w:p>
        </w:tc>
        <w:tc>
          <w:tcPr>
            <w:tcW w:type="dxa" w:w="3408"/>
          </w:tcPr>
          <w:p>
            <w:pPr>
              <w:spacing w:after="20"/>
            </w:pPr>
            <w:r>
              <w:rPr>
                <w:sz w:val="16"/>
              </w:rPr>
              <w:t>Runtime source inspected; top-level arrays and exact resolver fields used; retest PASS.</w:t>
            </w:r>
          </w:p>
        </w:tc>
      </w:tr>
      <w:tr>
        <w:tc>
          <w:tcPr>
            <w:tcW w:type="dxa" w:w="3408"/>
            <w:shd w:fill="F4F7FA"/>
          </w:tcPr>
          <w:p>
            <w:pPr>
              <w:spacing w:after="20"/>
            </w:pPr>
            <w:r>
              <w:rPr>
                <w:sz w:val="16"/>
              </w:rPr>
              <w:t>Unresolved hard exclusions</w:t>
            </w:r>
          </w:p>
        </w:tc>
        <w:tc>
          <w:tcPr>
            <w:tcW w:type="dxa" w:w="3408"/>
            <w:shd w:fill="F4F7FA"/>
          </w:tcPr>
          <w:p>
            <w:pPr>
              <w:spacing w:after="20"/>
            </w:pPr>
            <w:r>
              <w:rPr>
                <w:sz w:val="16"/>
              </w:rPr>
              <w:t>READY remained blocked and scoring unauthorized.</w:t>
            </w:r>
          </w:p>
        </w:tc>
        <w:tc>
          <w:tcPr>
            <w:tcW w:type="dxa" w:w="3408"/>
            <w:shd w:fill="F4F7FA"/>
          </w:tcPr>
          <w:p>
            <w:pPr>
              <w:spacing w:after="20"/>
            </w:pPr>
            <w:r>
              <w:rPr>
                <w:sz w:val="16"/>
              </w:rPr>
              <w:t>Named human determinations applied; authorization changed to READY/AUTHORISED.</w:t>
            </w:r>
          </w:p>
        </w:tc>
      </w:tr>
      <w:tr>
        <w:tc>
          <w:tcPr>
            <w:tcW w:type="dxa" w:w="3408"/>
          </w:tcPr>
          <w:p>
            <w:pPr>
              <w:spacing w:after="20"/>
            </w:pPr>
            <w:r>
              <w:rPr>
                <w:sz w:val="16"/>
              </w:rPr>
              <w:t>Final arithmetic</w:t>
            </w:r>
          </w:p>
        </w:tc>
        <w:tc>
          <w:tcPr>
            <w:tcW w:type="dxa" w:w="3408"/>
          </w:tcPr>
          <w:p>
            <w:pPr>
              <w:spacing w:after="20"/>
            </w:pPr>
            <w:r>
              <w:rPr>
                <w:sz w:val="16"/>
              </w:rPr>
              <w:t>64.00 inherent; 0.7807 multiplier; 49.97 residual; floor 12.80 not applied.</w:t>
            </w:r>
          </w:p>
        </w:tc>
        <w:tc>
          <w:tcPr>
            <w:tcW w:type="dxa" w:w="3408"/>
          </w:tcPr>
          <w:p>
            <w:pPr>
              <w:spacing w:after="20"/>
            </w:pPr>
            <w:r>
              <w:rPr>
                <w:sz w:val="16"/>
              </w:rPr>
              <w:t>High band, Committee at Gate 3.</w:t>
            </w:r>
          </w:p>
        </w:tc>
      </w:tr>
      <w:tr>
        <w:tc>
          <w:tcPr>
            <w:tcW w:type="dxa" w:w="3408"/>
            <w:shd w:fill="F4F7FA"/>
          </w:tcPr>
          <w:p>
            <w:pPr>
              <w:spacing w:after="20"/>
            </w:pPr>
            <w:r>
              <w:rPr>
                <w:sz w:val="16"/>
              </w:rPr>
              <w:t>Gate 3 authority</w:t>
            </w:r>
          </w:p>
        </w:tc>
        <w:tc>
          <w:tcPr>
            <w:tcW w:type="dxa" w:w="3408"/>
            <w:shd w:fill="F4F7FA"/>
          </w:tcPr>
          <w:p>
            <w:pPr>
              <w:spacing w:after="20"/>
            </w:pPr>
            <w:r>
              <w:rPr>
                <w:sz w:val="16"/>
              </w:rPr>
              <w:t>Memo admitted and self-check PASS.</w:t>
            </w:r>
          </w:p>
        </w:tc>
        <w:tc>
          <w:tcPr>
            <w:tcW w:type="dxa" w:w="3408"/>
            <w:shd w:fill="F4F7FA"/>
          </w:tcPr>
          <w:p>
            <w:pPr>
              <w:spacing w:after="20"/>
            </w:pPr>
            <w:r>
              <w:rPr>
                <w:sz w:val="16"/>
              </w:rPr>
              <w:t>Decision fields remained blank; state DRAFT_PENDING_GATE3_HUMAN_DECISION.</w:t>
            </w:r>
          </w:p>
        </w:tc>
      </w:tr>
    </w:tbl>
    <w:p/>
    <w:p>
      <w:r>
        <w:t>Earlier project evidence reports 65 tests across six files and 500 byte-identical repeated runs, including half-up rounding such as 2.675 -&gt; 2.68. The final Batch 2 evaluation did not include every raw execution log, so those remain reported project evidence rather than newly re-executed evidence.</w:t>
      </w:r>
    </w:p>
    <w:p>
      <w:pPr>
        <w:pStyle w:val="Heading1"/>
      </w:pPr>
      <w:r>
        <w:t>8. REVIEW</w:t>
      </w:r>
    </w:p>
    <w:p>
      <w:pPr>
        <w:pStyle w:val="ListBullet"/>
      </w:pPr>
      <w:r>
        <w:t>Gate 1 reviewed evidence, exceptions, candidate indicators, and hard-exclusion determinations; unresolved UNKNOWN exclusions blocked scoring.</w:t>
      </w:r>
    </w:p>
    <w:p>
      <w:pPr>
        <w:pStyle w:val="ListBullet"/>
      </w:pPr>
      <w:r>
        <w:t>Gate 2 first returned the case for correction, then approved escalation only after official READY/AUTHORISED scoring.</w:t>
      </w:r>
    </w:p>
    <w:p>
      <w:pPr>
        <w:pStyle w:val="ListBullet"/>
      </w:pPr>
      <w:r>
        <w:t>Gate 3 received a decision-ready memo, but the committee decision remained blank and human-controlled.</w:t>
      </w:r>
    </w:p>
    <w:p>
      <w:pPr>
        <w:pStyle w:val="ListBullet"/>
      </w:pPr>
      <w:r>
        <w:t>Agent narratives did not override deterministic results or human authority.</w:t>
      </w:r>
    </w:p>
    <w:p>
      <w:pPr>
        <w:pStyle w:val="Heading1"/>
      </w:pPr>
      <w:r>
        <w:t>9. IMPROVE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F5F"/>
          </w:tcPr>
          <w:p>
            <w:r>
              <w:rPr>
                <w:b/>
                <w:color w:val="FFFFFF"/>
                <w:sz w:val="16"/>
              </w:rPr>
              <w:t>Finding</w:t>
            </w:r>
          </w:p>
        </w:tc>
        <w:tc>
          <w:tcPr>
            <w:tcW w:type="dxa" w:w="3408"/>
            <w:shd w:fill="173F5F"/>
          </w:tcPr>
          <w:p>
            <w:r>
              <w:rPr>
                <w:b/>
                <w:color w:val="FFFFFF"/>
                <w:sz w:val="16"/>
              </w:rPr>
              <w:t>Change</w:t>
            </w:r>
          </w:p>
        </w:tc>
        <w:tc>
          <w:tcPr>
            <w:tcW w:type="dxa" w:w="3408"/>
            <w:shd w:fill="173F5F"/>
          </w:tcPr>
          <w:p>
            <w:r>
              <w:rPr>
                <w:b/>
                <w:color w:val="FFFFFF"/>
                <w:sz w:val="16"/>
              </w:rPr>
              <w:t>Lesson</w:t>
            </w:r>
          </w:p>
        </w:tc>
      </w:tr>
      <w:tr>
        <w:tc>
          <w:tcPr>
            <w:tcW w:type="dxa" w:w="3408"/>
          </w:tcPr>
          <w:p>
            <w:pPr>
              <w:spacing w:after="20"/>
            </w:pPr>
            <w:r>
              <w:rPr>
                <w:sz w:val="16"/>
              </w:rPr>
              <w:t>Generic vendor framing lacked decision authority</w:t>
            </w:r>
          </w:p>
        </w:tc>
        <w:tc>
          <w:tcPr>
            <w:tcW w:type="dxa" w:w="3408"/>
          </w:tcPr>
          <w:p>
            <w:pPr>
              <w:spacing w:after="20"/>
            </w:pPr>
            <w:r>
              <w:rPr>
                <w:sz w:val="16"/>
              </w:rPr>
              <w:t>Moved to correspondent banking.</w:t>
            </w:r>
          </w:p>
        </w:tc>
        <w:tc>
          <w:tcPr>
            <w:tcW w:type="dxa" w:w="3408"/>
          </w:tcPr>
          <w:p>
            <w:pPr>
              <w:spacing w:after="20"/>
            </w:pPr>
            <w:r>
              <w:rPr>
                <w:sz w:val="16"/>
              </w:rPr>
              <w:t>Select sources by the decision, not by a broad domain label.</w:t>
            </w:r>
          </w:p>
        </w:tc>
      </w:tr>
      <w:tr>
        <w:tc>
          <w:tcPr>
            <w:tcW w:type="dxa" w:w="3408"/>
            <w:shd w:fill="F4F7FA"/>
          </w:tcPr>
          <w:p>
            <w:pPr>
              <w:spacing w:after="20"/>
            </w:pPr>
            <w:r>
              <w:rPr>
                <w:sz w:val="16"/>
              </w:rPr>
              <w:t>Power Apps credits unavailable</w:t>
            </w:r>
          </w:p>
        </w:tc>
        <w:tc>
          <w:tcPr>
            <w:tcW w:type="dxa" w:w="3408"/>
            <w:shd w:fill="F4F7FA"/>
          </w:tcPr>
          <w:p>
            <w:pPr>
              <w:spacing w:after="20"/>
            </w:pPr>
            <w:r>
              <w:rPr>
                <w:sz w:val="16"/>
              </w:rPr>
              <w:t>Used portable packets and HTML.</w:t>
            </w:r>
          </w:p>
        </w:tc>
        <w:tc>
          <w:tcPr>
            <w:tcW w:type="dxa" w:w="3408"/>
            <w:shd w:fill="F4F7FA"/>
          </w:tcPr>
          <w:p>
            <w:pPr>
              <w:spacing w:after="20"/>
            </w:pPr>
            <w:r>
              <w:rPr>
                <w:sz w:val="16"/>
              </w:rPr>
              <w:t>Do not claim an unavailable platform component.</w:t>
            </w:r>
          </w:p>
        </w:tc>
      </w:tr>
      <w:tr>
        <w:tc>
          <w:tcPr>
            <w:tcW w:type="dxa" w:w="3408"/>
          </w:tcPr>
          <w:p>
            <w:pPr>
              <w:spacing w:after="20"/>
            </w:pPr>
            <w:r>
              <w:rPr>
                <w:sz w:val="16"/>
              </w:rPr>
              <w:t>Mapping gap</w:t>
            </w:r>
          </w:p>
        </w:tc>
        <w:tc>
          <w:tcPr>
            <w:tcW w:type="dxa" w:w="3408"/>
          </w:tcPr>
          <w:p>
            <w:pPr>
              <w:spacing w:after="20"/>
            </w:pPr>
            <w:r>
              <w:rPr>
                <w:sz w:val="16"/>
              </w:rPr>
              <w:t>Failed closed; corrected the synthetic path.</w:t>
            </w:r>
          </w:p>
        </w:tc>
        <w:tc>
          <w:tcPr>
            <w:tcW w:type="dxa" w:w="3408"/>
          </w:tcPr>
          <w:p>
            <w:pPr>
              <w:spacing w:after="20"/>
            </w:pPr>
            <w:r>
              <w:rPr>
                <w:sz w:val="16"/>
              </w:rPr>
              <w:t>Refusal is safer than invented completeness.</w:t>
            </w:r>
          </w:p>
        </w:tc>
      </w:tr>
      <w:tr>
        <w:tc>
          <w:tcPr>
            <w:tcW w:type="dxa" w:w="3408"/>
            <w:shd w:fill="F4F7FA"/>
          </w:tcPr>
          <w:p>
            <w:pPr>
              <w:spacing w:after="20"/>
            </w:pPr>
            <w:r>
              <w:rPr>
                <w:sz w:val="16"/>
              </w:rPr>
              <w:t>Cross-language contract mismatch</w:t>
            </w:r>
          </w:p>
        </w:tc>
        <w:tc>
          <w:tcPr>
            <w:tcW w:type="dxa" w:w="3408"/>
            <w:shd w:fill="F4F7FA"/>
          </w:tcPr>
          <w:p>
            <w:pPr>
              <w:spacing w:after="20"/>
            </w:pPr>
            <w:r>
              <w:rPr>
                <w:sz w:val="16"/>
              </w:rPr>
              <w:t>Normalized producer output and added checks.</w:t>
            </w:r>
          </w:p>
        </w:tc>
        <w:tc>
          <w:tcPr>
            <w:tcW w:type="dxa" w:w="3408"/>
            <w:shd w:fill="F4F7FA"/>
          </w:tcPr>
          <w:p>
            <w:pPr>
              <w:spacing w:after="20"/>
            </w:pPr>
            <w:r>
              <w:rPr>
                <w:sz w:val="16"/>
              </w:rPr>
              <w:t>Shared schemas should govern interfaces.</w:t>
            </w:r>
          </w:p>
        </w:tc>
      </w:tr>
      <w:tr>
        <w:tc>
          <w:tcPr>
            <w:tcW w:type="dxa" w:w="3408"/>
          </w:tcPr>
          <w:p>
            <w:pPr>
              <w:spacing w:after="20"/>
            </w:pPr>
            <w:r>
              <w:rPr>
                <w:sz w:val="16"/>
              </w:rPr>
              <w:t>Wrong Gate 1 contract</w:t>
            </w:r>
          </w:p>
        </w:tc>
        <w:tc>
          <w:tcPr>
            <w:tcW w:type="dxa" w:w="3408"/>
          </w:tcPr>
          <w:p>
            <w:pPr>
              <w:spacing w:after="20"/>
            </w:pPr>
            <w:r>
              <w:rPr>
                <w:sz w:val="16"/>
              </w:rPr>
              <w:t>Inspected the actual consumer and regenerated JSON.</w:t>
            </w:r>
          </w:p>
        </w:tc>
        <w:tc>
          <w:tcPr>
            <w:tcW w:type="dxa" w:w="3408"/>
          </w:tcPr>
          <w:p>
            <w:pPr>
              <w:spacing w:after="20"/>
            </w:pPr>
            <w:r>
              <w:rPr>
                <w:sz w:val="16"/>
              </w:rPr>
              <w:t>Templates must match runtime behavior.</w:t>
            </w:r>
          </w:p>
        </w:tc>
      </w:tr>
      <w:tr>
        <w:tc>
          <w:tcPr>
            <w:tcW w:type="dxa" w:w="3408"/>
            <w:shd w:fill="F4F7FA"/>
          </w:tcPr>
          <w:p>
            <w:pPr>
              <w:spacing w:after="20"/>
            </w:pPr>
            <w:r>
              <w:rPr>
                <w:sz w:val="16"/>
              </w:rPr>
              <w:t>Token duplication</w:t>
            </w:r>
          </w:p>
        </w:tc>
        <w:tc>
          <w:tcPr>
            <w:tcW w:type="dxa" w:w="3408"/>
            <w:shd w:fill="F4F7FA"/>
          </w:tcPr>
          <w:p>
            <w:pPr>
              <w:spacing w:after="20"/>
            </w:pPr>
            <w:r>
              <w:rPr>
                <w:sz w:val="16"/>
              </w:rPr>
              <w:t>Identified repeated semantic output, rereads, and model-generated HTML.</w:t>
            </w:r>
          </w:p>
        </w:tc>
        <w:tc>
          <w:tcPr>
            <w:tcW w:type="dxa" w:w="3408"/>
            <w:shd w:fill="F4F7FA"/>
          </w:tcPr>
          <w:p>
            <w:pPr>
              <w:spacing w:after="20"/>
            </w:pPr>
            <w:r>
              <w:rPr>
                <w:sz w:val="16"/>
              </w:rPr>
              <w:t>Move deterministic assembly and templates out of the model.</w:t>
            </w:r>
          </w:p>
        </w:tc>
      </w:tr>
    </w:tbl>
    <w:p/>
    <w:p>
      <w:pPr>
        <w:pStyle w:val="Heading1"/>
      </w:pPr>
      <w:r>
        <w:t>10. MAINTAIN</w:t>
      </w:r>
    </w:p>
    <w:p>
      <w:pPr>
        <w:pStyle w:val="ListBullet"/>
      </w:pPr>
      <w:r>
        <w:t>Artifacts retain case/run identity, versions, evidence references, reviewer information, scoring trace, and hashes for selected files.</w:t>
      </w:r>
    </w:p>
    <w:p>
      <w:pPr>
        <w:pStyle w:val="ListBullet"/>
      </w:pPr>
      <w:r>
        <w:t>Closure design includes manifest, receipt, SHA-256 list, copied evidence, and HTML summary; local hashes do not prove immutable retention.</w:t>
      </w:r>
    </w:p>
    <w:p>
      <w:pPr>
        <w:pStyle w:val="ListBullet"/>
      </w:pPr>
      <w:r>
        <w:t>Estimated project token use is 300,000-620,000, with a planning figure of about 450,000 and a 220,000-850,000 sensitivity envelope. These are processed-token estimates, not billing telemetry.</w:t>
      </w:r>
    </w:p>
    <w:p>
      <w:pPr>
        <w:pStyle w:val="ListBullet"/>
      </w:pPr>
      <w:r>
        <w:t>Recommended next controls include shared JSON Schema, governance-catalogue compilation, one-command preflight/CI, browser tests, IAM, encryption, monitoring, retention, immutable storage, integrations, and scale tests.</w:t>
      </w:r>
    </w:p>
    <w:p>
      <w:pPr>
        <w:pStyle w:val="Heading1"/>
      </w:pPr>
      <w:r>
        <w:t>11. Evidence limitations and non-claims</w:t>
      </w:r>
    </w:p>
    <w:p>
      <w:pPr>
        <w:pStyle w:val="ListBullet"/>
      </w:pPr>
      <w:r>
        <w:t>No formal SDLC or dependable meeting cadence was followed.</w:t>
      </w:r>
    </w:p>
    <w:p>
      <w:pPr>
        <w:pStyle w:val="ListBullet"/>
      </w:pPr>
      <w:r>
        <w:t>Claude Agent participation and reciprocal review with Copilot Agent (Flynn) are team-declared; no Claude platform transcript or telemetry was registered.</w:t>
      </w:r>
    </w:p>
    <w:p>
      <w:pPr>
        <w:pStyle w:val="ListBullet"/>
      </w:pPr>
      <w:r>
        <w:t>Synthetic evidence does not establish operational authenticity or legal sufficiency.</w:t>
      </w:r>
    </w:p>
    <w:p>
      <w:pPr>
        <w:pStyle w:val="ListBullet"/>
      </w:pPr>
      <w:r>
        <w:t>The Gate 3 HTML was inspected, but a full automated cross-browser suite was not completed.</w:t>
      </w:r>
    </w:p>
    <w:p>
      <w:pPr>
        <w:pStyle w:val="ListBullet"/>
      </w:pPr>
      <w:r>
        <w:t>Deployment Stage 5 and Operations Stage 6 are theoretical recommendations only. The team has a general Power Apps-oriented idea but has not deeply analyzed the designs or established Power Platform production expertise.</w:t>
      </w:r>
    </w:p>
    <w:p>
      <w:pPr>
        <w:pStyle w:val="ListBullet"/>
      </w:pPr>
      <w:r>
        <w:t>Production readiness and scale were not completed.</w:t>
      </w:r>
    </w:p>
    <w:tbl>
      <w:tblPr>
        <w:tblW w:type="auto" w:w="0"/>
        <w:tblLook w:firstColumn="1" w:firstRow="1" w:lastColumn="0" w:lastRow="0" w:noHBand="0" w:noVBand="1" w:val="04A0"/>
      </w:tblPr>
      <w:tblGrid>
        <w:gridCol w:w="10224"/>
      </w:tblGrid>
      <w:tr>
        <w:tc>
          <w:tcPr>
            <w:tcW w:type="dxa" w:w="10224"/>
            <w:shd w:fill="EAF4F2"/>
          </w:tcPr>
          <w:p>
            <w:pPr/>
            <w:r>
              <w:t>Bottom line: Copilot Agent (Flynn), acting as a Consulting Project Solutions Architect role player, and Claude Agent, created for the hackathon, jointly analyzed, recommended, and cross-reviewed. Authoritative research shaped the MVP; deterministic controls and human gates determined what could progress.</w:t>
            </w:r>
          </w:p>
        </w:tc>
      </w:tr>
    </w:tbl>
    <w:p/>
    <w:p>
      <w:pPr>
        <w:pStyle w:val="Heading1"/>
      </w:pPr>
      <w:r>
        <w:rPr>
          <w:b w:val="0"/>
        </w:rPr>
        <w:t>12. DEPLOYMENT STAGE 5 AND OPERATIONS STAGE 6 - proposed target state</w:t>
      </w:r>
    </w:p>
    <w:p>
      <w:r>
        <w:rPr>
          <w:b/>
          <w:color w:val="8A5B00"/>
        </w:rPr>
        <w:t>The two newest artifacts extend the project into a theoretical production and operations target state. The team has not yet deeply analyzed, approved, implemented, tested, or operated these recommendations. The team currently has a general direction, especially the potential use of Power Apps, Dataverse, Power Automate, Copilot Studio, Power BI, and Azure services. These are architecture options for later assessment, not claims of platform expertise, production readiness, or deployment.</w:t>
      </w:r>
    </w:p>
    <w:p>
      <w:pPr>
        <w:pStyle w:val="Heading2"/>
      </w:pPr>
      <w:r>
        <w:rPr>
          <w:b w:val="0"/>
        </w:rPr>
        <w:t>Evidence classification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73F5F"/>
          </w:tcPr>
          <w:p>
            <w:r>
              <w:rPr>
                <w:b/>
                <w:color w:val="FFFFFF"/>
                <w:sz w:val="16"/>
              </w:rPr>
              <w:t>Artifact</w:t>
            </w:r>
          </w:p>
        </w:tc>
        <w:tc>
          <w:tcPr>
            <w:tcW w:type="dxa" w:w="2556"/>
            <w:shd w:fill="173F5F"/>
          </w:tcPr>
          <w:p>
            <w:r>
              <w:rPr>
                <w:b/>
                <w:color w:val="FFFFFF"/>
                <w:sz w:val="16"/>
              </w:rPr>
              <w:t>What it contains</w:t>
            </w:r>
          </w:p>
        </w:tc>
        <w:tc>
          <w:tcPr>
            <w:tcW w:type="dxa" w:w="2556"/>
            <w:shd w:fill="173F5F"/>
          </w:tcPr>
          <w:p>
            <w:r>
              <w:rPr>
                <w:b/>
                <w:color w:val="FFFFFF"/>
                <w:sz w:val="16"/>
              </w:rPr>
              <w:t>Evidence class</w:t>
            </w:r>
          </w:p>
        </w:tc>
        <w:tc>
          <w:tcPr>
            <w:tcW w:type="dxa" w:w="2556"/>
            <w:shd w:fill="173F5F"/>
          </w:tcPr>
          <w:p>
            <w:r>
              <w:rPr>
                <w:b/>
                <w:color w:val="FFFFFF"/>
                <w:sz w:val="16"/>
              </w:rPr>
              <w:t>What may be claimed</w:t>
            </w:r>
          </w:p>
        </w:tc>
      </w:tr>
      <w:tr>
        <w:tc>
          <w:tcPr>
            <w:tcW w:type="dxa" w:w="2556"/>
          </w:tcPr>
          <w:p>
            <w:pPr>
              <w:spacing w:after="20"/>
            </w:pPr>
            <w:r>
              <w:rPr>
                <w:sz w:val="16"/>
              </w:rPr>
              <w:t>Production Readiness Strategy - Deployment Stage 5</w:t>
            </w:r>
          </w:p>
        </w:tc>
        <w:tc>
          <w:tcPr>
            <w:tcW w:type="dxa" w:w="2556"/>
          </w:tcPr>
          <w:p>
            <w:pPr>
              <w:spacing w:after="20"/>
            </w:pPr>
            <w:r>
              <w:rPr>
                <w:sz w:val="16"/>
              </w:rPr>
              <w:t>Recommended target architecture, theoretical workflow, token optimization, security, ALM, environment strategy, deployment approach, pilot and go-live path.</w:t>
            </w:r>
          </w:p>
        </w:tc>
        <w:tc>
          <w:tcPr>
            <w:tcW w:type="dxa" w:w="2556"/>
          </w:tcPr>
          <w:p>
            <w:pPr>
              <w:spacing w:after="20"/>
            </w:pPr>
            <w:r>
              <w:rPr>
                <w:sz w:val="16"/>
              </w:rPr>
              <w:t>DESIGNED / NOT TEAM-VALIDATED</w:t>
            </w:r>
          </w:p>
        </w:tc>
        <w:tc>
          <w:tcPr>
            <w:tcW w:type="dxa" w:w="2556"/>
          </w:tcPr>
          <w:p>
            <w:pPr>
              <w:spacing w:after="20"/>
            </w:pPr>
            <w:r>
              <w:rPr>
                <w:sz w:val="16"/>
              </w:rPr>
              <w:t>A production strategy was drafted for evaluation. Do not claim production readiness, deployment, Power Platform implementation, scale proof, or deep platform expertise.</w:t>
            </w:r>
          </w:p>
        </w:tc>
      </w:tr>
      <w:tr>
        <w:tc>
          <w:tcPr>
            <w:tcW w:type="dxa" w:w="2556"/>
            <w:shd w:fill="F4F7FA"/>
          </w:tcPr>
          <w:p>
            <w:pPr>
              <w:spacing w:after="20"/>
            </w:pPr>
            <w:r>
              <w:rPr>
                <w:sz w:val="16"/>
              </w:rPr>
              <w:t>Operations, Monitoring and Continuous Improvement Plan</w:t>
            </w:r>
          </w:p>
        </w:tc>
        <w:tc>
          <w:tcPr>
            <w:tcW w:type="dxa" w:w="2556"/>
            <w:shd w:fill="F4F7FA"/>
          </w:tcPr>
          <w:p>
            <w:pPr>
              <w:spacing w:after="20"/>
            </w:pPr>
            <w:r>
              <w:rPr>
                <w:sz w:val="16"/>
              </w:rPr>
              <w:t>Recommended operating model, observability, SLO candidates, dashboards, alerts, incidents, Agent quality, FinOps, release controls, runbooks and improvement cadences.</w:t>
            </w:r>
          </w:p>
        </w:tc>
        <w:tc>
          <w:tcPr>
            <w:tcW w:type="dxa" w:w="2556"/>
            <w:shd w:fill="F4F7FA"/>
          </w:tcPr>
          <w:p>
            <w:pPr>
              <w:spacing w:after="20"/>
            </w:pPr>
            <w:r>
              <w:rPr>
                <w:sz w:val="16"/>
              </w:rPr>
              <w:t>DESIGNED / NOT TEAM-VALIDATED</w:t>
            </w:r>
          </w:p>
        </w:tc>
        <w:tc>
          <w:tcPr>
            <w:tcW w:type="dxa" w:w="2556"/>
            <w:shd w:fill="F4F7FA"/>
          </w:tcPr>
          <w:p>
            <w:pPr>
              <w:spacing w:after="20"/>
            </w:pPr>
            <w:r>
              <w:rPr>
                <w:sz w:val="16"/>
              </w:rPr>
              <w:t>An operations plan was drafted for evaluation. Do not claim monitoring, operational SLOs, runbooks, production support, or continuous-improvement execution.</w:t>
            </w:r>
          </w:p>
        </w:tc>
      </w:tr>
    </w:tbl>
    <w:p>
      <w:pPr>
        <w:pStyle w:val="Heading2"/>
      </w:pPr>
      <w:r>
        <w:rPr>
          <w:b w:val="0"/>
        </w:rPr>
        <w:t>Proposed target architecture, subject to team and governance review</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73F5F"/>
          </w:tcPr>
          <w:p>
            <w:r>
              <w:rPr>
                <w:b/>
                <w:color w:val="FFFFFF"/>
                <w:sz w:val="16"/>
              </w:rPr>
              <w:t>Layer</w:t>
            </w:r>
          </w:p>
        </w:tc>
        <w:tc>
          <w:tcPr>
            <w:tcW w:type="dxa" w:w="2556"/>
            <w:shd w:fill="173F5F"/>
          </w:tcPr>
          <w:p>
            <w:r>
              <w:rPr>
                <w:b/>
                <w:color w:val="FFFFFF"/>
                <w:sz w:val="16"/>
              </w:rPr>
              <w:t>Recommended option</w:t>
            </w:r>
          </w:p>
        </w:tc>
        <w:tc>
          <w:tcPr>
            <w:tcW w:type="dxa" w:w="2556"/>
            <w:shd w:fill="173F5F"/>
          </w:tcPr>
          <w:p>
            <w:r>
              <w:rPr>
                <w:b/>
                <w:color w:val="FFFFFF"/>
                <w:sz w:val="16"/>
              </w:rPr>
              <w:t>Reason for consideration</w:t>
            </w:r>
          </w:p>
        </w:tc>
        <w:tc>
          <w:tcPr>
            <w:tcW w:type="dxa" w:w="2556"/>
            <w:shd w:fill="173F5F"/>
          </w:tcPr>
          <w:p>
            <w:r>
              <w:rPr>
                <w:b/>
                <w:color w:val="FFFFFF"/>
                <w:sz w:val="16"/>
              </w:rPr>
              <w:t>Current certainty</w:t>
            </w:r>
          </w:p>
        </w:tc>
      </w:tr>
      <w:tr>
        <w:tc>
          <w:tcPr>
            <w:tcW w:type="dxa" w:w="2556"/>
          </w:tcPr>
          <w:p>
            <w:pPr>
              <w:spacing w:after="20"/>
            </w:pPr>
            <w:r>
              <w:rPr>
                <w:sz w:val="16"/>
              </w:rPr>
              <w:t>Human workbench</w:t>
            </w:r>
          </w:p>
        </w:tc>
        <w:tc>
          <w:tcPr>
            <w:tcW w:type="dxa" w:w="2556"/>
          </w:tcPr>
          <w:p>
            <w:pPr>
              <w:spacing w:after="20"/>
            </w:pPr>
            <w:r>
              <w:rPr>
                <w:sz w:val="16"/>
              </w:rPr>
              <w:t>Power Apps model-driven app</w:t>
            </w:r>
          </w:p>
        </w:tc>
        <w:tc>
          <w:tcPr>
            <w:tcW w:type="dxa" w:w="2556"/>
          </w:tcPr>
          <w:p>
            <w:pPr>
              <w:spacing w:after="20"/>
            </w:pPr>
            <w:r>
              <w:rPr>
                <w:sz w:val="16"/>
              </w:rPr>
              <w:t>Structured forms, review views, queues, role-aware case work and Dataverse integration.</w:t>
            </w:r>
          </w:p>
        </w:tc>
        <w:tc>
          <w:tcPr>
            <w:tcW w:type="dxa" w:w="2556"/>
          </w:tcPr>
          <w:p>
            <w:pPr>
              <w:spacing w:after="20"/>
            </w:pPr>
            <w:r>
              <w:rPr>
                <w:sz w:val="16"/>
              </w:rPr>
              <w:t>General concept only; credits and licensing previously unavailable for the MVP.</w:t>
            </w:r>
          </w:p>
        </w:tc>
      </w:tr>
      <w:tr>
        <w:tc>
          <w:tcPr>
            <w:tcW w:type="dxa" w:w="2556"/>
            <w:shd w:fill="F4F7FA"/>
          </w:tcPr>
          <w:p>
            <w:pPr>
              <w:spacing w:after="20"/>
            </w:pPr>
            <w:r>
              <w:rPr>
                <w:sz w:val="16"/>
              </w:rPr>
              <w:t>System of record</w:t>
            </w:r>
          </w:p>
        </w:tc>
        <w:tc>
          <w:tcPr>
            <w:tcW w:type="dxa" w:w="2556"/>
            <w:shd w:fill="F4F7FA"/>
          </w:tcPr>
          <w:p>
            <w:pPr>
              <w:spacing w:after="20"/>
            </w:pPr>
            <w:r>
              <w:rPr>
                <w:sz w:val="16"/>
              </w:rPr>
              <w:t>Microsoft Dataverse</w:t>
            </w:r>
          </w:p>
        </w:tc>
        <w:tc>
          <w:tcPr>
            <w:tcW w:type="dxa" w:w="2556"/>
            <w:shd w:fill="F4F7FA"/>
          </w:tcPr>
          <w:p>
            <w:pPr>
              <w:spacing w:after="20"/>
            </w:pPr>
            <w:r>
              <w:rPr>
                <w:sz w:val="16"/>
              </w:rPr>
              <w:t>Structured relational case data, validation, business logic, and role/row/column security.</w:t>
            </w:r>
          </w:p>
        </w:tc>
        <w:tc>
          <w:tcPr>
            <w:tcW w:type="dxa" w:w="2556"/>
            <w:shd w:fill="F4F7FA"/>
          </w:tcPr>
          <w:p>
            <w:pPr>
              <w:spacing w:after="20"/>
            </w:pPr>
            <w:r>
              <w:rPr>
                <w:sz w:val="16"/>
              </w:rPr>
              <w:t>Recommendation; no production data model implemented.</w:t>
            </w:r>
          </w:p>
        </w:tc>
      </w:tr>
      <w:tr>
        <w:tc>
          <w:tcPr>
            <w:tcW w:type="dxa" w:w="2556"/>
          </w:tcPr>
          <w:p>
            <w:pPr>
              <w:spacing w:after="20"/>
            </w:pPr>
            <w:r>
              <w:rPr>
                <w:sz w:val="16"/>
              </w:rPr>
              <w:t>Agent layer</w:t>
            </w:r>
          </w:p>
        </w:tc>
        <w:tc>
          <w:tcPr>
            <w:tcW w:type="dxa" w:w="2556"/>
          </w:tcPr>
          <w:p>
            <w:pPr>
              <w:spacing w:after="20"/>
            </w:pPr>
            <w:r>
              <w:rPr>
                <w:sz w:val="16"/>
              </w:rPr>
              <w:t>Microsoft Copilot Studio</w:t>
            </w:r>
          </w:p>
        </w:tc>
        <w:tc>
          <w:tcPr>
            <w:tcW w:type="dxa" w:w="2556"/>
          </w:tcPr>
          <w:p>
            <w:pPr>
              <w:spacing w:after="20"/>
            </w:pPr>
            <w:r>
              <w:rPr>
                <w:sz w:val="16"/>
              </w:rPr>
              <w:t>Managed Agent authoring, actions, authentication and analytics.</w:t>
            </w:r>
          </w:p>
        </w:tc>
        <w:tc>
          <w:tcPr>
            <w:tcW w:type="dxa" w:w="2556"/>
          </w:tcPr>
          <w:p>
            <w:pPr>
              <w:spacing w:after="20"/>
            </w:pPr>
            <w:r>
              <w:rPr>
                <w:sz w:val="16"/>
              </w:rPr>
              <w:t>Recommendation; existing MVP Agents would need redesign and evaluation.</w:t>
            </w:r>
          </w:p>
        </w:tc>
      </w:tr>
      <w:tr>
        <w:tc>
          <w:tcPr>
            <w:tcW w:type="dxa" w:w="2556"/>
            <w:shd w:fill="F4F7FA"/>
          </w:tcPr>
          <w:p>
            <w:pPr>
              <w:spacing w:after="20"/>
            </w:pPr>
            <w:r>
              <w:rPr>
                <w:sz w:val="16"/>
              </w:rPr>
              <w:t>Workflow</w:t>
            </w:r>
          </w:p>
        </w:tc>
        <w:tc>
          <w:tcPr>
            <w:tcW w:type="dxa" w:w="2556"/>
            <w:shd w:fill="F4F7FA"/>
          </w:tcPr>
          <w:p>
            <w:pPr>
              <w:spacing w:after="20"/>
            </w:pPr>
            <w:r>
              <w:rPr>
                <w:sz w:val="16"/>
              </w:rPr>
              <w:t>Power Automate; Azure Logic Apps/Durable Functions for longer technical orchestration</w:t>
            </w:r>
          </w:p>
        </w:tc>
        <w:tc>
          <w:tcPr>
            <w:tcW w:type="dxa" w:w="2556"/>
            <w:shd w:fill="F4F7FA"/>
          </w:tcPr>
          <w:p>
            <w:pPr>
              <w:spacing w:after="20"/>
            </w:pPr>
            <w:r>
              <w:rPr>
                <w:sz w:val="16"/>
              </w:rPr>
              <w:t>Approvals, tasks, reminders and integration, with stronger orchestration for resilient processing.</w:t>
            </w:r>
          </w:p>
        </w:tc>
        <w:tc>
          <w:tcPr>
            <w:tcW w:type="dxa" w:w="2556"/>
            <w:shd w:fill="F4F7FA"/>
          </w:tcPr>
          <w:p>
            <w:pPr>
              <w:spacing w:after="20"/>
            </w:pPr>
            <w:r>
              <w:rPr>
                <w:sz w:val="16"/>
              </w:rPr>
              <w:t>Recommendation; no production flow implemented.</w:t>
            </w:r>
          </w:p>
        </w:tc>
      </w:tr>
      <w:tr>
        <w:tc>
          <w:tcPr>
            <w:tcW w:type="dxa" w:w="2556"/>
          </w:tcPr>
          <w:p>
            <w:pPr>
              <w:spacing w:after="20"/>
            </w:pPr>
            <w:r>
              <w:rPr>
                <w:sz w:val="16"/>
              </w:rPr>
              <w:t>Deterministic controls</w:t>
            </w:r>
          </w:p>
        </w:tc>
        <w:tc>
          <w:tcPr>
            <w:tcW w:type="dxa" w:w="2556"/>
          </w:tcPr>
          <w:p>
            <w:pPr>
              <w:spacing w:after="20"/>
            </w:pPr>
            <w:r>
              <w:rPr>
                <w:sz w:val="16"/>
              </w:rPr>
              <w:t>Azure Functions or Container Apps running versioned Node.js validation/scoring</w:t>
            </w:r>
          </w:p>
        </w:tc>
        <w:tc>
          <w:tcPr>
            <w:tcW w:type="dxa" w:w="2556"/>
          </w:tcPr>
          <w:p>
            <w:pPr>
              <w:spacing w:after="20"/>
            </w:pPr>
            <w:r>
              <w:rPr>
                <w:sz w:val="16"/>
              </w:rPr>
              <w:t>Preserves the rule that LLMs do not calculate the official score.</w:t>
            </w:r>
          </w:p>
        </w:tc>
        <w:tc>
          <w:tcPr>
            <w:tcW w:type="dxa" w:w="2556"/>
          </w:tcPr>
          <w:p>
            <w:pPr>
              <w:spacing w:after="20"/>
            </w:pPr>
            <w:r>
              <w:rPr>
                <w:sz w:val="16"/>
              </w:rPr>
              <w:t>Conceptual migration of tested MVP code, not a completed deployment.</w:t>
            </w:r>
          </w:p>
        </w:tc>
      </w:tr>
      <w:tr>
        <w:tc>
          <w:tcPr>
            <w:tcW w:type="dxa" w:w="2556"/>
            <w:shd w:fill="F4F7FA"/>
          </w:tcPr>
          <w:p>
            <w:pPr>
              <w:spacing w:after="20"/>
            </w:pPr>
            <w:r>
              <w:rPr>
                <w:sz w:val="16"/>
              </w:rPr>
              <w:t>Operations</w:t>
            </w:r>
          </w:p>
        </w:tc>
        <w:tc>
          <w:tcPr>
            <w:tcW w:type="dxa" w:w="2556"/>
            <w:shd w:fill="F4F7FA"/>
          </w:tcPr>
          <w:p>
            <w:pPr>
              <w:spacing w:after="20"/>
            </w:pPr>
            <w:r>
              <w:rPr>
                <w:sz w:val="16"/>
              </w:rPr>
              <w:t>Application Insights, Azure Monitor, Log Analytics, Power BI, Power Platform and Copilot Studio analytics</w:t>
            </w:r>
          </w:p>
        </w:tc>
        <w:tc>
          <w:tcPr>
            <w:tcW w:type="dxa" w:w="2556"/>
            <w:shd w:fill="F4F7FA"/>
          </w:tcPr>
          <w:p>
            <w:pPr>
              <w:spacing w:after="20"/>
            </w:pPr>
            <w:r>
              <w:rPr>
                <w:sz w:val="16"/>
              </w:rPr>
              <w:t>End-to-end technical, business, Agent quality and cost observability.</w:t>
            </w:r>
          </w:p>
        </w:tc>
        <w:tc>
          <w:tcPr>
            <w:tcW w:type="dxa" w:w="2556"/>
            <w:shd w:fill="F4F7FA"/>
          </w:tcPr>
          <w:p>
            <w:pPr>
              <w:spacing w:after="20"/>
            </w:pPr>
            <w:r>
              <w:rPr>
                <w:sz w:val="16"/>
              </w:rPr>
              <w:t>Designed only; no production telemetry exists.</w:t>
            </w:r>
          </w:p>
        </w:tc>
      </w:tr>
    </w:tbl>
    <w:p>
      <w:pPr>
        <w:pStyle w:val="Heading2"/>
      </w:pPr>
      <w:r>
        <w:rPr>
          <w:b w:val="0"/>
        </w:rPr>
        <w:t>Proposed go-live path</w:t>
      </w:r>
    </w:p>
    <w:tbl>
      <w:tblPr>
        <w:tblStyle w:val="TableGrid"/>
        <w:tblW w:type="auto" w:w="0"/>
        <w:tblLook w:firstColumn="1" w:firstRow="1" w:lastColumn="0" w:lastRow="0" w:noHBand="0" w:noVBand="1" w:val="04A0"/>
      </w:tblPr>
      <w:tblGrid>
        <w:gridCol w:w="3408"/>
        <w:gridCol w:w="3408"/>
        <w:gridCol w:w="3408"/>
      </w:tblGrid>
      <w:tr>
        <w:tc>
          <w:tcPr>
            <w:tcW w:type="dxa" w:w="3408"/>
            <w:shd w:fill="173F5F"/>
          </w:tcPr>
          <w:p>
            <w:r>
              <w:rPr>
                <w:b/>
                <w:color w:val="FFFFFF"/>
                <w:sz w:val="16"/>
              </w:rPr>
              <w:t>Phase</w:t>
            </w:r>
          </w:p>
        </w:tc>
        <w:tc>
          <w:tcPr>
            <w:tcW w:type="dxa" w:w="3408"/>
            <w:shd w:fill="173F5F"/>
          </w:tcPr>
          <w:p>
            <w:r>
              <w:rPr>
                <w:b/>
                <w:color w:val="FFFFFF"/>
                <w:sz w:val="16"/>
              </w:rPr>
              <w:t>Recommended outcome</w:t>
            </w:r>
          </w:p>
        </w:tc>
        <w:tc>
          <w:tcPr>
            <w:tcW w:type="dxa" w:w="3408"/>
            <w:shd w:fill="173F5F"/>
          </w:tcPr>
          <w:p>
            <w:r>
              <w:rPr>
                <w:b/>
                <w:color w:val="FFFFFF"/>
                <w:sz w:val="16"/>
              </w:rPr>
              <w:t>Evidence required before exit</w:t>
            </w:r>
          </w:p>
        </w:tc>
      </w:tr>
      <w:tr>
        <w:tc>
          <w:tcPr>
            <w:tcW w:type="dxa" w:w="3408"/>
          </w:tcPr>
          <w:p>
            <w:pPr>
              <w:spacing w:after="20"/>
            </w:pPr>
            <w:r>
              <w:rPr>
                <w:sz w:val="16"/>
              </w:rPr>
              <w:t>Governance and foundation</w:t>
            </w:r>
          </w:p>
        </w:tc>
        <w:tc>
          <w:tcPr>
            <w:tcW w:type="dxa" w:w="3408"/>
          </w:tcPr>
          <w:p>
            <w:pPr>
              <w:spacing w:after="20"/>
            </w:pPr>
            <w:r>
              <w:rPr>
                <w:sz w:val="16"/>
              </w:rPr>
              <w:t>Owners, funding, architecture/security/privacy review, environments, identity, DLP, repositories and pipelines.</w:t>
            </w:r>
          </w:p>
        </w:tc>
        <w:tc>
          <w:tcPr>
            <w:tcW w:type="dxa" w:w="3408"/>
          </w:tcPr>
          <w:p>
            <w:pPr>
              <w:spacing w:after="20"/>
            </w:pPr>
            <w:r>
              <w:rPr>
                <w:sz w:val="16"/>
              </w:rPr>
              <w:t>Approved decisions, licensing/capacity, data classification and control ownership.</w:t>
            </w:r>
          </w:p>
        </w:tc>
      </w:tr>
      <w:tr>
        <w:tc>
          <w:tcPr>
            <w:tcW w:type="dxa" w:w="3408"/>
            <w:shd w:fill="F4F7FA"/>
          </w:tcPr>
          <w:p>
            <w:pPr>
              <w:spacing w:after="20"/>
            </w:pPr>
            <w:r>
              <w:rPr>
                <w:sz w:val="16"/>
              </w:rPr>
              <w:t>Controlled build</w:t>
            </w:r>
          </w:p>
        </w:tc>
        <w:tc>
          <w:tcPr>
            <w:tcW w:type="dxa" w:w="3408"/>
            <w:shd w:fill="F4F7FA"/>
          </w:tcPr>
          <w:p>
            <w:pPr>
              <w:spacing w:after="20"/>
            </w:pPr>
            <w:r>
              <w:rPr>
                <w:sz w:val="16"/>
              </w:rPr>
              <w:t>Power Apps/Dataverse case model, workflows, authenticated Agent actions, deterministic APIs, and telemetry.</w:t>
            </w:r>
          </w:p>
        </w:tc>
        <w:tc>
          <w:tcPr>
            <w:tcW w:type="dxa" w:w="3408"/>
            <w:shd w:fill="F4F7FA"/>
          </w:tcPr>
          <w:p>
            <w:pPr>
              <w:spacing w:after="20"/>
            </w:pPr>
            <w:r>
              <w:rPr>
                <w:sz w:val="16"/>
              </w:rPr>
              <w:t>Unit, contract, regression, security and integration evidence.</w:t>
            </w:r>
          </w:p>
        </w:tc>
      </w:tr>
      <w:tr>
        <w:tc>
          <w:tcPr>
            <w:tcW w:type="dxa" w:w="3408"/>
          </w:tcPr>
          <w:p>
            <w:pPr>
              <w:spacing w:after="20"/>
            </w:pPr>
            <w:r>
              <w:rPr>
                <w:sz w:val="16"/>
              </w:rPr>
              <w:t>Shadow pilot</w:t>
            </w:r>
          </w:p>
        </w:tc>
        <w:tc>
          <w:tcPr>
            <w:tcW w:type="dxa" w:w="3408"/>
          </w:tcPr>
          <w:p>
            <w:pPr>
              <w:spacing w:after="20"/>
            </w:pPr>
            <w:r>
              <w:rPr>
                <w:sz w:val="16"/>
              </w:rPr>
              <w:t>Compare candidate outputs with the existing human process without changing decisions.</w:t>
            </w:r>
          </w:p>
        </w:tc>
        <w:tc>
          <w:tcPr>
            <w:tcW w:type="dxa" w:w="3408"/>
          </w:tcPr>
          <w:p>
            <w:pPr>
              <w:spacing w:after="20"/>
            </w:pPr>
            <w:r>
              <w:rPr>
                <w:sz w:val="16"/>
              </w:rPr>
              <w:t>Quality, traceability, latency, cost, refusal and control thresholds.</w:t>
            </w:r>
          </w:p>
        </w:tc>
      </w:tr>
      <w:tr>
        <w:tc>
          <w:tcPr>
            <w:tcW w:type="dxa" w:w="3408"/>
            <w:shd w:fill="F4F7FA"/>
          </w:tcPr>
          <w:p>
            <w:pPr>
              <w:spacing w:after="20"/>
            </w:pPr>
            <w:r>
              <w:rPr>
                <w:sz w:val="16"/>
              </w:rPr>
              <w:t>Limited production</w:t>
            </w:r>
          </w:p>
        </w:tc>
        <w:tc>
          <w:tcPr>
            <w:tcW w:type="dxa" w:w="3408"/>
            <w:shd w:fill="F4F7FA"/>
          </w:tcPr>
          <w:p>
            <w:pPr>
              <w:spacing w:after="20"/>
            </w:pPr>
            <w:r>
              <w:rPr>
                <w:sz w:val="16"/>
              </w:rPr>
              <w:t>One team/region/change type with support, rollback and daily review.</w:t>
            </w:r>
          </w:p>
        </w:tc>
        <w:tc>
          <w:tcPr>
            <w:tcW w:type="dxa" w:w="3408"/>
            <w:shd w:fill="F4F7FA"/>
          </w:tcPr>
          <w:p>
            <w:pPr>
              <w:spacing w:after="20"/>
            </w:pPr>
            <w:r>
              <w:rPr>
                <w:sz w:val="16"/>
              </w:rPr>
              <w:t>Stable SLOs, no severe unresolved incidents, accepted residual risks.</w:t>
            </w:r>
          </w:p>
        </w:tc>
      </w:tr>
      <w:tr>
        <w:tc>
          <w:tcPr>
            <w:tcW w:type="dxa" w:w="3408"/>
          </w:tcPr>
          <w:p>
            <w:pPr>
              <w:spacing w:after="20"/>
            </w:pPr>
            <w:r>
              <w:rPr>
                <w:sz w:val="16"/>
              </w:rPr>
              <w:t>General availability and scale</w:t>
            </w:r>
          </w:p>
        </w:tc>
        <w:tc>
          <w:tcPr>
            <w:tcW w:type="dxa" w:w="3408"/>
          </w:tcPr>
          <w:p>
            <w:pPr>
              <w:spacing w:after="20"/>
            </w:pPr>
            <w:r>
              <w:rPr>
                <w:sz w:val="16"/>
              </w:rPr>
              <w:t>Progressive user/volume expansion, then one change type/integration/region at a time.</w:t>
            </w:r>
          </w:p>
        </w:tc>
        <w:tc>
          <w:tcPr>
            <w:tcW w:type="dxa" w:w="3408"/>
          </w:tcPr>
          <w:p>
            <w:pPr>
              <w:spacing w:after="20"/>
            </w:pPr>
            <w:r>
              <w:rPr>
                <w:sz w:val="16"/>
              </w:rPr>
              <w:t>Separate capacity, regression, security and operational approval per expansion.</w:t>
            </w:r>
          </w:p>
        </w:tc>
      </w:tr>
    </w:tbl>
    <w:p>
      <w:pPr>
        <w:pStyle w:val="Heading2"/>
      </w:pPr>
      <w:r>
        <w:rPr>
          <w:b w:val="0"/>
        </w:rPr>
        <w:t>Updated total Agent token estimate</w:t>
      </w:r>
    </w:p>
    <w:tbl>
      <w:tblPr>
        <w:tblStyle w:val="TableGrid"/>
        <w:tblW w:type="auto" w:w="0"/>
        <w:tblLook w:firstColumn="1" w:firstRow="1" w:lastColumn="0" w:lastRow="0" w:noHBand="0" w:noVBand="1" w:val="04A0"/>
      </w:tblPr>
      <w:tblGrid>
        <w:gridCol w:w="3408"/>
        <w:gridCol w:w="3408"/>
        <w:gridCol w:w="3408"/>
      </w:tblGrid>
      <w:tr>
        <w:tc>
          <w:tcPr>
            <w:tcW w:type="dxa" w:w="3408"/>
            <w:shd w:fill="173F5F"/>
          </w:tcPr>
          <w:p>
            <w:r>
              <w:rPr>
                <w:b/>
                <w:color w:val="FFFFFF"/>
                <w:sz w:val="16"/>
              </w:rPr>
              <w:t>Work category</w:t>
            </w:r>
          </w:p>
        </w:tc>
        <w:tc>
          <w:tcPr>
            <w:tcW w:type="dxa" w:w="3408"/>
            <w:shd w:fill="173F5F"/>
          </w:tcPr>
          <w:p>
            <w:r>
              <w:rPr>
                <w:b/>
                <w:color w:val="FFFFFF"/>
                <w:sz w:val="16"/>
              </w:rPr>
              <w:t>Estimated model tokens</w:t>
            </w:r>
          </w:p>
        </w:tc>
        <w:tc>
          <w:tcPr>
            <w:tcW w:type="dxa" w:w="3408"/>
            <w:shd w:fill="173F5F"/>
          </w:tcPr>
          <w:p>
            <w:r>
              <w:rPr>
                <w:b/>
                <w:color w:val="FFFFFF"/>
                <w:sz w:val="16"/>
              </w:rPr>
              <w:t>Basis / caveat</w:t>
            </w:r>
          </w:p>
        </w:tc>
      </w:tr>
      <w:tr>
        <w:tc>
          <w:tcPr>
            <w:tcW w:type="dxa" w:w="3408"/>
          </w:tcPr>
          <w:p>
            <w:pPr>
              <w:spacing w:after="20"/>
            </w:pPr>
            <w:r>
              <w:rPr>
                <w:sz w:val="16"/>
              </w:rPr>
              <w:t>Original two-Agent solution workflow</w:t>
            </w:r>
          </w:p>
        </w:tc>
        <w:tc>
          <w:tcPr>
            <w:tcW w:type="dxa" w:w="3408"/>
          </w:tcPr>
          <w:p>
            <w:pPr>
              <w:spacing w:after="20"/>
            </w:pPr>
            <w:r>
              <w:rPr>
                <w:sz w:val="16"/>
              </w:rPr>
              <w:t>145,000-250,000</w:t>
            </w:r>
          </w:p>
        </w:tc>
        <w:tc>
          <w:tcPr>
            <w:tcW w:type="dxa" w:w="3408"/>
          </w:tcPr>
          <w:p>
            <w:pPr>
              <w:spacing w:after="20"/>
            </w:pPr>
            <w:r>
              <w:rPr>
                <w:sz w:val="16"/>
              </w:rPr>
              <w:t>Existing operational token analysis for Intake Analyzer and Memo Creator.</w:t>
            </w:r>
          </w:p>
        </w:tc>
      </w:tr>
      <w:tr>
        <w:tc>
          <w:tcPr>
            <w:tcW w:type="dxa" w:w="3408"/>
            <w:shd w:fill="F4F7FA"/>
          </w:tcPr>
          <w:p>
            <w:pPr>
              <w:spacing w:after="20"/>
            </w:pPr>
            <w:r>
              <w:rPr>
                <w:sz w:val="16"/>
              </w:rPr>
              <w:t>Requirements, research, architecture, prompts and iterative solution design</w:t>
            </w:r>
          </w:p>
        </w:tc>
        <w:tc>
          <w:tcPr>
            <w:tcW w:type="dxa" w:w="3408"/>
            <w:shd w:fill="F4F7FA"/>
          </w:tcPr>
          <w:p>
            <w:pPr>
              <w:spacing w:after="20"/>
            </w:pPr>
            <w:r>
              <w:rPr>
                <w:sz w:val="16"/>
              </w:rPr>
              <w:t>90,000-200,000</w:t>
            </w:r>
          </w:p>
        </w:tc>
        <w:tc>
          <w:tcPr>
            <w:tcW w:type="dxa" w:w="3408"/>
            <w:shd w:fill="F4F7FA"/>
          </w:tcPr>
          <w:p>
            <w:pPr>
              <w:spacing w:after="20"/>
            </w:pPr>
            <w:r>
              <w:rPr>
                <w:sz w:val="16"/>
              </w:rPr>
              <w:t>Includes reciprocal work by Copilot Agent (Flynn) and Claude Agent; no authoritative cross-platform telemetry.</w:t>
            </w:r>
          </w:p>
        </w:tc>
      </w:tr>
      <w:tr>
        <w:tc>
          <w:tcPr>
            <w:tcW w:type="dxa" w:w="3408"/>
          </w:tcPr>
          <w:p>
            <w:pPr>
              <w:spacing w:after="20"/>
            </w:pPr>
            <w:r>
              <w:rPr>
                <w:sz w:val="16"/>
              </w:rPr>
              <w:t>QA diagnosis, defect correction, retest assistance and evaluation records</w:t>
            </w:r>
          </w:p>
        </w:tc>
        <w:tc>
          <w:tcPr>
            <w:tcW w:type="dxa" w:w="3408"/>
          </w:tcPr>
          <w:p>
            <w:pPr>
              <w:spacing w:after="20"/>
            </w:pPr>
            <w:r>
              <w:rPr>
                <w:sz w:val="16"/>
              </w:rPr>
              <w:t>55,000-140,000</w:t>
            </w:r>
          </w:p>
        </w:tc>
        <w:tc>
          <w:tcPr>
            <w:tcW w:type="dxa" w:w="3408"/>
          </w:tcPr>
          <w:p>
            <w:pPr>
              <w:spacing w:after="20"/>
            </w:pPr>
            <w:r>
              <w:rPr>
                <w:sz w:val="16"/>
              </w:rPr>
              <w:t>Long-context analysis and multiple correction cycles.</w:t>
            </w:r>
          </w:p>
        </w:tc>
      </w:tr>
      <w:tr>
        <w:tc>
          <w:tcPr>
            <w:tcW w:type="dxa" w:w="3408"/>
            <w:shd w:fill="F4F7FA"/>
          </w:tcPr>
          <w:p>
            <w:pPr>
              <w:spacing w:after="20"/>
            </w:pPr>
            <w:r>
              <w:rPr>
                <w:sz w:val="16"/>
              </w:rPr>
              <w:t>Executive, lifecycle, evidence, Stage 5, Operations and revision artifacts</w:t>
            </w:r>
          </w:p>
        </w:tc>
        <w:tc>
          <w:tcPr>
            <w:tcW w:type="dxa" w:w="3408"/>
            <w:shd w:fill="F4F7FA"/>
          </w:tcPr>
          <w:p>
            <w:pPr>
              <w:spacing w:after="20"/>
            </w:pPr>
            <w:r>
              <w:rPr>
                <w:sz w:val="16"/>
              </w:rPr>
              <w:t>45,000-110,000</w:t>
            </w:r>
          </w:p>
        </w:tc>
        <w:tc>
          <w:tcPr>
            <w:tcW w:type="dxa" w:w="3408"/>
            <w:shd w:fill="F4F7FA"/>
          </w:tcPr>
          <w:p>
            <w:pPr>
              <w:spacing w:after="20"/>
            </w:pPr>
            <w:r>
              <w:rPr>
                <w:sz w:val="16"/>
              </w:rPr>
              <w:t>Includes all document-generation and revision work in this conversation, including the current session.</w:t>
            </w:r>
          </w:p>
        </w:tc>
      </w:tr>
      <w:tr>
        <w:tc>
          <w:tcPr>
            <w:tcW w:type="dxa" w:w="3408"/>
          </w:tcPr>
          <w:p>
            <w:pPr>
              <w:spacing w:after="20"/>
            </w:pPr>
            <w:r>
              <w:rPr>
                <w:sz w:val="16"/>
              </w:rPr>
              <w:t>Estimated total hackathon project to date</w:t>
            </w:r>
          </w:p>
        </w:tc>
        <w:tc>
          <w:tcPr>
            <w:tcW w:type="dxa" w:w="3408"/>
          </w:tcPr>
          <w:p>
            <w:pPr>
              <w:spacing w:after="20"/>
            </w:pPr>
            <w:r>
              <w:rPr>
                <w:sz w:val="16"/>
              </w:rPr>
              <w:t>335,000-700,000</w:t>
            </w:r>
          </w:p>
        </w:tc>
        <w:tc>
          <w:tcPr>
            <w:tcW w:type="dxa" w:w="3408"/>
          </w:tcPr>
          <w:p>
            <w:pPr>
              <w:spacing w:after="20"/>
            </w:pPr>
            <w:r>
              <w:rPr>
                <w:sz w:val="16"/>
              </w:rPr>
              <w:t>Estimated model tokens processed across both Agents and all known artifact/prompt work.</w:t>
            </w:r>
          </w:p>
        </w:tc>
      </w:tr>
      <w:tr>
        <w:tc>
          <w:tcPr>
            <w:tcW w:type="dxa" w:w="3408"/>
            <w:shd w:fill="F4F7FA"/>
          </w:tcPr>
          <w:p>
            <w:pPr>
              <w:spacing w:after="20"/>
            </w:pPr>
            <w:r>
              <w:rPr>
                <w:sz w:val="16"/>
              </w:rPr>
              <w:t>Planning figure</w:t>
            </w:r>
          </w:p>
        </w:tc>
        <w:tc>
          <w:tcPr>
            <w:tcW w:type="dxa" w:w="3408"/>
            <w:shd w:fill="F4F7FA"/>
          </w:tcPr>
          <w:p>
            <w:pPr>
              <w:spacing w:after="20"/>
            </w:pPr>
            <w:r>
              <w:rPr>
                <w:sz w:val="16"/>
              </w:rPr>
              <w:t>Approximately 520,000</w:t>
            </w:r>
          </w:p>
        </w:tc>
        <w:tc>
          <w:tcPr>
            <w:tcW w:type="dxa" w:w="3408"/>
            <w:shd w:fill="F4F7FA"/>
          </w:tcPr>
          <w:p>
            <w:pPr>
              <w:spacing w:after="20"/>
            </w:pPr>
            <w:r>
              <w:rPr>
                <w:sz w:val="16"/>
              </w:rPr>
              <w:t>Use for planning only; not billed-token or provider telemetry.</w:t>
            </w:r>
          </w:p>
        </w:tc>
      </w:tr>
      <w:tr>
        <w:tc>
          <w:tcPr>
            <w:tcW w:type="dxa" w:w="3408"/>
          </w:tcPr>
          <w:p>
            <w:pPr>
              <w:spacing w:after="20"/>
            </w:pPr>
            <w:r>
              <w:rPr>
                <w:sz w:val="16"/>
              </w:rPr>
              <w:t>Conservative sensitivity envelope</w:t>
            </w:r>
          </w:p>
        </w:tc>
        <w:tc>
          <w:tcPr>
            <w:tcW w:type="dxa" w:w="3408"/>
          </w:tcPr>
          <w:p>
            <w:pPr>
              <w:spacing w:after="20"/>
            </w:pPr>
            <w:r>
              <w:rPr>
                <w:sz w:val="16"/>
              </w:rPr>
              <w:t>250,000-950,000</w:t>
            </w:r>
          </w:p>
        </w:tc>
        <w:tc>
          <w:tcPr>
            <w:tcW w:type="dxa" w:w="3408"/>
          </w:tcPr>
          <w:p>
            <w:pPr>
              <w:spacing w:after="20"/>
            </w:pPr>
            <w:r>
              <w:rPr>
                <w:sz w:val="16"/>
              </w:rPr>
              <w:t>Allows for hidden instructions, retrieval, retries, context compaction/reuse, differing tokenizers and unregistered Claude context.</w:t>
            </w:r>
          </w:p>
        </w:tc>
      </w:tr>
    </w:tbl>
    <w:p>
      <w:r>
        <w:rPr>
          <w:b/>
          <w:color w:val="1F7A70"/>
        </w:rPr>
        <w:t>Token statement: the estimate covers harnessing Copilot Agent (Flynn) and Claude Agent to analyze requirements, recommend and review the solution and architecture, answer prompts, diagnose defects, and produce the known hackathon artifacts, including Stage 5, Stage 6, and this session. It must be presented as an engineering estimate of model tokens processed, not an invoice, billing record, or exact telemetry.</w:t>
      </w:r>
    </w:p>
    <w:p>
      <w:pPr>
        <w:pStyle w:val="Heading2"/>
      </w:pPr>
      <w:r>
        <w:rPr>
          <w:b w:val="0"/>
        </w:rPr>
        <w:t>Token optimization direction for a future production version</w:t>
      </w:r>
    </w:p>
    <w:tbl>
      <w:tblPr>
        <w:tblStyle w:val="TableGrid"/>
        <w:tblW w:type="auto" w:w="0"/>
        <w:tblLook w:firstColumn="1" w:firstRow="1" w:lastColumn="0" w:lastRow="0" w:noHBand="0" w:noVBand="1" w:val="04A0"/>
      </w:tblPr>
      <w:tblGrid>
        <w:gridCol w:w="3408"/>
        <w:gridCol w:w="3408"/>
        <w:gridCol w:w="3408"/>
      </w:tblGrid>
      <w:tr>
        <w:tc>
          <w:tcPr>
            <w:tcW w:type="dxa" w:w="3408"/>
            <w:shd w:fill="173F5F"/>
          </w:tcPr>
          <w:p>
            <w:r>
              <w:rPr>
                <w:b/>
                <w:color w:val="FFFFFF"/>
                <w:sz w:val="16"/>
              </w:rPr>
              <w:t>Recommendation</w:t>
            </w:r>
          </w:p>
        </w:tc>
        <w:tc>
          <w:tcPr>
            <w:tcW w:type="dxa" w:w="3408"/>
            <w:shd w:fill="173F5F"/>
          </w:tcPr>
          <w:p>
            <w:r>
              <w:rPr>
                <w:b/>
                <w:color w:val="FFFFFF"/>
                <w:sz w:val="16"/>
              </w:rPr>
              <w:t>Expected effect</w:t>
            </w:r>
          </w:p>
        </w:tc>
        <w:tc>
          <w:tcPr>
            <w:tcW w:type="dxa" w:w="3408"/>
            <w:shd w:fill="173F5F"/>
          </w:tcPr>
          <w:p>
            <w:r>
              <w:rPr>
                <w:b/>
                <w:color w:val="FFFFFF"/>
                <w:sz w:val="16"/>
              </w:rPr>
              <w:t>Control</w:t>
            </w:r>
          </w:p>
        </w:tc>
      </w:tr>
      <w:tr>
        <w:tc>
          <w:tcPr>
            <w:tcW w:type="dxa" w:w="3408"/>
          </w:tcPr>
          <w:p>
            <w:pPr>
              <w:spacing w:after="20"/>
            </w:pPr>
            <w:r>
              <w:rPr>
                <w:sz w:val="16"/>
              </w:rPr>
              <w:t>Deterministic parsing before Agent calls</w:t>
            </w:r>
          </w:p>
        </w:tc>
        <w:tc>
          <w:tcPr>
            <w:tcW w:type="dxa" w:w="3408"/>
          </w:tcPr>
          <w:p>
            <w:pPr>
              <w:spacing w:after="20"/>
            </w:pPr>
            <w:r>
              <w:rPr>
                <w:sz w:val="16"/>
              </w:rPr>
              <w:t>Avoid model use for stable workbook cells, IDs, versions and enumerations.</w:t>
            </w:r>
          </w:p>
        </w:tc>
        <w:tc>
          <w:tcPr>
            <w:tcW w:type="dxa" w:w="3408"/>
          </w:tcPr>
          <w:p>
            <w:pPr>
              <w:spacing w:after="20"/>
            </w:pPr>
            <w:r>
              <w:rPr>
                <w:sz w:val="16"/>
              </w:rPr>
              <w:t>Retain semantic interpretation for ambiguous narrative only.</w:t>
            </w:r>
          </w:p>
        </w:tc>
      </w:tr>
      <w:tr>
        <w:tc>
          <w:tcPr>
            <w:tcW w:type="dxa" w:w="3408"/>
            <w:shd w:fill="F4F7FA"/>
          </w:tcPr>
          <w:p>
            <w:pPr>
              <w:spacing w:after="20"/>
            </w:pPr>
            <w:r>
              <w:rPr>
                <w:sz w:val="16"/>
              </w:rPr>
              <w:t>Compact Agent contracts and one canonical fact store</w:t>
            </w:r>
          </w:p>
        </w:tc>
        <w:tc>
          <w:tcPr>
            <w:tcW w:type="dxa" w:w="3408"/>
            <w:shd w:fill="F4F7FA"/>
          </w:tcPr>
          <w:p>
            <w:pPr>
              <w:spacing w:after="20"/>
            </w:pPr>
            <w:r>
              <w:rPr>
                <w:sz w:val="16"/>
              </w:rPr>
              <w:t>Reduce full-workbook rereads and repeated package output.</w:t>
            </w:r>
          </w:p>
        </w:tc>
        <w:tc>
          <w:tcPr>
            <w:tcW w:type="dxa" w:w="3408"/>
            <w:shd w:fill="F4F7FA"/>
          </w:tcPr>
          <w:p>
            <w:pPr>
              <w:spacing w:after="20"/>
            </w:pPr>
            <w:r>
              <w:rPr>
                <w:sz w:val="16"/>
              </w:rPr>
              <w:t>Every Agent source reference must resolve to retained evidence.</w:t>
            </w:r>
          </w:p>
        </w:tc>
      </w:tr>
      <w:tr>
        <w:tc>
          <w:tcPr>
            <w:tcW w:type="dxa" w:w="3408"/>
          </w:tcPr>
          <w:p>
            <w:pPr>
              <w:spacing w:after="20"/>
            </w:pPr>
            <w:r>
              <w:rPr>
                <w:sz w:val="16"/>
              </w:rPr>
              <w:t>Deterministic packet and document rendering</w:t>
            </w:r>
          </w:p>
        </w:tc>
        <w:tc>
          <w:tcPr>
            <w:tcW w:type="dxa" w:w="3408"/>
          </w:tcPr>
          <w:p>
            <w:pPr>
              <w:spacing w:after="20"/>
            </w:pPr>
            <w:r>
              <w:rPr>
                <w:sz w:val="16"/>
              </w:rPr>
              <w:t>Remove model-generated assembly and HTML duplication.</w:t>
            </w:r>
          </w:p>
        </w:tc>
        <w:tc>
          <w:tcPr>
            <w:tcW w:type="dxa" w:w="3408"/>
          </w:tcPr>
          <w:p>
            <w:pPr>
              <w:spacing w:after="20"/>
            </w:pPr>
            <w:r>
              <w:rPr>
                <w:sz w:val="16"/>
              </w:rPr>
              <w:t>Schema and rendering regression tests.</w:t>
            </w:r>
          </w:p>
        </w:tc>
      </w:tr>
      <w:tr>
        <w:tc>
          <w:tcPr>
            <w:tcW w:type="dxa" w:w="3408"/>
            <w:shd w:fill="F4F7FA"/>
          </w:tcPr>
          <w:p>
            <w:pPr>
              <w:spacing w:after="20"/>
            </w:pPr>
            <w:r>
              <w:rPr>
                <w:sz w:val="16"/>
              </w:rPr>
              <w:t>Retrieval by factor and authority</w:t>
            </w:r>
          </w:p>
        </w:tc>
        <w:tc>
          <w:tcPr>
            <w:tcW w:type="dxa" w:w="3408"/>
            <w:shd w:fill="F4F7FA"/>
          </w:tcPr>
          <w:p>
            <w:pPr>
              <w:spacing w:after="20"/>
            </w:pPr>
            <w:r>
              <w:rPr>
                <w:sz w:val="16"/>
              </w:rPr>
              <w:t>Send only material, version-approved evidence.</w:t>
            </w:r>
          </w:p>
        </w:tc>
        <w:tc>
          <w:tcPr>
            <w:tcW w:type="dxa" w:w="3408"/>
            <w:shd w:fill="F4F7FA"/>
          </w:tcPr>
          <w:p>
            <w:pPr>
              <w:spacing w:after="20"/>
            </w:pPr>
            <w:r>
              <w:rPr>
                <w:sz w:val="16"/>
              </w:rPr>
              <w:t>Permission, version, owner and expiry filtering.</w:t>
            </w:r>
          </w:p>
        </w:tc>
      </w:tr>
      <w:tr>
        <w:tc>
          <w:tcPr>
            <w:tcW w:type="dxa" w:w="3408"/>
          </w:tcPr>
          <w:p>
            <w:pPr>
              <w:spacing w:after="20"/>
            </w:pPr>
            <w:r>
              <w:rPr>
                <w:sz w:val="16"/>
              </w:rPr>
              <w:t>Model routing, bounded retries and budgets</w:t>
            </w:r>
          </w:p>
        </w:tc>
        <w:tc>
          <w:tcPr>
            <w:tcW w:type="dxa" w:w="3408"/>
          </w:tcPr>
          <w:p>
            <w:pPr>
              <w:spacing w:after="20"/>
            </w:pPr>
            <w:r>
              <w:rPr>
                <w:sz w:val="16"/>
              </w:rPr>
              <w:t>Reduce cost and runaway processing.</w:t>
            </w:r>
          </w:p>
        </w:tc>
        <w:tc>
          <w:tcPr>
            <w:tcW w:type="dxa" w:w="3408"/>
          </w:tcPr>
          <w:p>
            <w:pPr>
              <w:spacing w:after="20"/>
            </w:pPr>
            <w:r>
              <w:rPr>
                <w:sz w:val="16"/>
              </w:rPr>
              <w:t>No silent quality reduction; all changes require evals.</w:t>
            </w:r>
          </w:p>
        </w:tc>
      </w:tr>
    </w:tbl>
    <w:p/>
    <w:sectPr w:rsidR="00FC693F" w:rsidRPr="0006063C" w:rsidSect="00034616">
      <w:head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CORRESPONDENT GATE | PROJECT LIFECYCLE EVIDENCE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F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7A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Correspondent Gate - Project Lifecycle Evidence Record - Complete</dc:title>
  <dc:subject/>
  <dc:creator>Raymund Esponilla</dc:creator>
  <keywords/>
  <dc:description>generated by python-docx</dc:description>
  <lastModifiedBy>Raymund Esponilla</lastModifiedBy>
  <revision>1</revision>
  <dcterms:created xsi:type="dcterms:W3CDTF">2026-10-26T22:17:27.5616817Z</dcterms:created>
  <dcterms:modified xsi:type="dcterms:W3CDTF">2026-10-26T22:17:27.5616817Z</dcterms:modified>
  <category/>
</coreProperties>
</file>