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Correspondent</w:t>
      </w:r>
      <w:r>
        <w:t xml:space="preserve"> </w:t>
      </w:r>
      <w:r>
        <w:t xml:space="preserve">Gate</w:t>
      </w:r>
    </w:p>
    <w:p>
      <w:pPr>
        <w:pStyle w:val="Subtitle"/>
      </w:pPr>
      <w:r>
        <w:t xml:space="preserve">Executive</w:t>
      </w:r>
      <w:r>
        <w:t xml:space="preserve"> </w:t>
      </w:r>
      <w:r>
        <w:t xml:space="preserve">Summary</w:t>
      </w:r>
      <w:r>
        <w:t xml:space="preserve"> </w:t>
      </w:r>
      <w:r>
        <w:t xml:space="preserve">—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Was</w:t>
      </w:r>
      <w:r>
        <w:t xml:space="preserve"> </w:t>
      </w:r>
      <w:r>
        <w:t xml:space="preserve">Derived</w:t>
      </w:r>
    </w:p>
    <w:p>
      <w:pPr>
        <w:pStyle w:val="Author"/>
      </w:pPr>
      <w:r>
        <w:t xml:space="preserve">Genius</w:t>
      </w:r>
      <w:r>
        <w:t xml:space="preserve"> </w:t>
      </w:r>
      <w:r>
        <w:t xml:space="preserve">Hacks</w:t>
      </w:r>
      <w:r>
        <w:t xml:space="preserve"> </w:t>
      </w:r>
      <w:r>
        <w:t xml:space="preserve">Q3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Workbench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  <w:bCs/>
                <w:b/>
              </w:rPr>
              <w:t xml:space="preserve">Challenge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Genius Hacks Q3 2026 — Risk Assessment Workbench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Correspondent banking respondent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reads and drafts · Deterministic code validates and scores · Humans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Hackathon MVP, synthetic data only</w:t>
            </w:r>
          </w:p>
        </w:tc>
      </w:tr>
    </w:tbl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The brief, and what it actually asked for</w:t>
      </w:r>
    </w:p>
    <w:p>
      <w:pPr>
        <w:numPr>
          <w:ilvl w:val="0"/>
          <w:numId w:val="1001"/>
        </w:numPr>
        <w:pStyle w:val="Compact"/>
      </w:pPr>
      <w:r>
        <w:t xml:space="preserve">Narrowing the problem</w:t>
      </w:r>
    </w:p>
    <w:p>
      <w:pPr>
        <w:numPr>
          <w:ilvl w:val="0"/>
          <w:numId w:val="1001"/>
        </w:numPr>
        <w:pStyle w:val="Compact"/>
      </w:pPr>
      <w:r>
        <w:t xml:space="preserve">Research evaluation: selecting the source instruments</w:t>
      </w:r>
    </w:p>
    <w:p>
      <w:pPr>
        <w:numPr>
          <w:ilvl w:val="0"/>
          <w:numId w:val="1001"/>
        </w:numPr>
        <w:pStyle w:val="Compact"/>
      </w:pPr>
      <w:r>
        <w:t xml:space="preserve">Framework grounding</w:t>
      </w:r>
    </w:p>
    <w:p>
      <w:pPr>
        <w:numPr>
          <w:ilvl w:val="0"/>
          <w:numId w:val="1001"/>
        </w:numPr>
        <w:pStyle w:val="Compact"/>
      </w:pPr>
      <w:r>
        <w:t xml:space="preserve">The architecture that followed</w:t>
      </w:r>
    </w:p>
    <w:p>
      <w:pPr>
        <w:numPr>
          <w:ilvl w:val="0"/>
          <w:numId w:val="1001"/>
        </w:numPr>
        <w:pStyle w:val="Compact"/>
      </w:pPr>
      <w:r>
        <w:t xml:space="preserve">How the solution answers each criterion</w:t>
      </w:r>
    </w:p>
    <w:p>
      <w:pPr>
        <w:numPr>
          <w:ilvl w:val="0"/>
          <w:numId w:val="1001"/>
        </w:numPr>
        <w:pStyle w:val="Compact"/>
      </w:pPr>
      <w:r>
        <w:t xml:space="preserve">What we got wrong, and corrected</w:t>
      </w:r>
    </w:p>
    <w:p>
      <w:pPr>
        <w:numPr>
          <w:ilvl w:val="0"/>
          <w:numId w:val="1001"/>
        </w:numPr>
        <w:pStyle w:val="Compact"/>
      </w:pPr>
      <w:r>
        <w:t xml:space="preserve">Known limitations</w:t>
      </w:r>
    </w:p>
    <w:p>
      <w:r>
        <w:br w:type="page"/>
      </w:r>
    </w:p>
    <w:bookmarkEnd w:id="20"/>
    <w:bookmarkStart w:id="22" w:name="the-brief-and-what-it-actually-asked-for"/>
    <w:p>
      <w:pPr>
        <w:pStyle w:val="Heading2"/>
      </w:pPr>
      <w:r>
        <w:t xml:space="preserve">1. The brief, and what it actually asked for</w:t>
      </w:r>
    </w:p>
    <w:p>
      <w:pPr>
        <w:pStyle w:val="FirstParagraph"/>
      </w:pPr>
      <w:r>
        <w:t xml:space="preserve">Genius Hacks Q3 2026 set one problem statement for every team: a</w:t>
      </w:r>
      <w:r>
        <w:t xml:space="preserve"> </w:t>
      </w:r>
      <w:r>
        <w:rPr>
          <w:bCs/>
          <w:b/>
        </w:rPr>
        <w:t xml:space="preserve">Risk</w:t>
      </w:r>
      <w:r>
        <w:rPr>
          <w:bCs/>
          <w:b/>
        </w:rPr>
        <w:t xml:space="preserve"> </w:t>
      </w:r>
      <w:r>
        <w:rPr>
          <w:bCs/>
          <w:b/>
        </w:rPr>
        <w:t xml:space="preserve">Assessment Workbench</w:t>
      </w:r>
      <w:r>
        <w:t xml:space="preserve"> </w:t>
      </w:r>
      <w:r>
        <w:t xml:space="preserve">for a large national bank. New products and material</w:t>
      </w:r>
      <w:r>
        <w:t xml:space="preserve"> </w:t>
      </w:r>
      <w:r>
        <w:t xml:space="preserve">changes trigger a financial crime risk assessment that today runs on email,</w:t>
      </w:r>
      <w:r>
        <w:t xml:space="preserve"> </w:t>
      </w:r>
      <w:r>
        <w:t xml:space="preserve">Word, Excel and SharePoint, and takes weeks.</w:t>
      </w:r>
    </w:p>
    <w:p>
      <w:pPr>
        <w:pStyle w:val="BodyText"/>
      </w:pPr>
      <w:r>
        <w:t xml:space="preserve">The brief was deliberately incomplete. Four things were named 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specified:</w:t>
      </w:r>
    </w:p>
    <w:p>
      <w:pPr>
        <w:numPr>
          <w:ilvl w:val="0"/>
          <w:numId w:val="1002"/>
        </w:numPr>
        <w:pStyle w:val="Compact"/>
      </w:pPr>
      <w:r>
        <w:t xml:space="preserve">which parts of the workflow are automated, and which stay manual</w:t>
      </w:r>
    </w:p>
    <w:p>
      <w:pPr>
        <w:numPr>
          <w:ilvl w:val="0"/>
          <w:numId w:val="1002"/>
        </w:numPr>
        <w:pStyle w:val="Compact"/>
      </w:pPr>
      <w:r>
        <w:t xml:space="preserve">how risk is scored</w:t>
      </w:r>
    </w:p>
    <w:p>
      <w:pPr>
        <w:numPr>
          <w:ilvl w:val="0"/>
          <w:numId w:val="1002"/>
        </w:numPr>
        <w:pStyle w:val="Compact"/>
      </w:pPr>
      <w:r>
        <w:t xml:space="preserve">where the human checkpoints sit</w:t>
      </w:r>
    </w:p>
    <w:p>
      <w:pPr>
        <w:numPr>
          <w:ilvl w:val="0"/>
          <w:numId w:val="1002"/>
        </w:numPr>
        <w:pStyle w:val="Compact"/>
      </w:pPr>
      <w:r>
        <w:t xml:space="preserve">which stack is used</w:t>
      </w:r>
    </w:p>
    <w:p>
      <w:pPr>
        <w:pStyle w:val="FirstParagraph"/>
      </w:pPr>
      <w:r>
        <w:t xml:space="preserve">Those four omissions are the exam. The brief also set three constraints that</w:t>
      </w:r>
      <w:r>
        <w:t xml:space="preserve"> </w:t>
      </w:r>
      <w:r>
        <w:t xml:space="preserve">narrow the answer considerably: risk decomposition must be</w:t>
      </w:r>
      <w:r>
        <w:t xml:space="preserve"> </w:t>
      </w:r>
      <w:r>
        <w:rPr>
          <w:bCs/>
          <w:b/>
        </w:rPr>
        <w:t xml:space="preserve">grounded in</w:t>
      </w:r>
      <w:r>
        <w:rPr>
          <w:bCs/>
          <w:b/>
        </w:rPr>
        <w:t xml:space="preserve"> </w:t>
      </w:r>
      <w:r>
        <w:rPr>
          <w:bCs/>
          <w:b/>
        </w:rPr>
        <w:t xml:space="preserve">published supervisory frameworks, not invented</w:t>
      </w:r>
      <w:r>
        <w:t xml:space="preserve">;</w:t>
      </w:r>
      <w:r>
        <w:t xml:space="preserve"> </w:t>
      </w:r>
      <w:r>
        <w:rPr>
          <w:bCs/>
          <w:b/>
        </w:rPr>
        <w:t xml:space="preserve">controls mitigate risk and</w:t>
      </w:r>
      <w:r>
        <w:rPr>
          <w:bCs/>
          <w:b/>
        </w:rPr>
        <w:t xml:space="preserve"> </w:t>
      </w:r>
      <w:r>
        <w:rPr>
          <w:bCs/>
          <w:b/>
        </w:rPr>
        <w:t xml:space="preserve">never eliminate it</w:t>
      </w:r>
      <w:r>
        <w:t xml:space="preserve">; and a human must be able to</w:t>
      </w:r>
      <w:r>
        <w:t xml:space="preserve"> </w:t>
      </w:r>
      <w:r>
        <w:rPr>
          <w:bCs/>
          <w:b/>
        </w:rPr>
        <w:t xml:space="preserve">disagree with any system</w:t>
      </w:r>
      <w:r>
        <w:rPr>
          <w:bCs/>
          <w:b/>
        </w:rPr>
        <w:t xml:space="preserve"> </w:t>
      </w:r>
      <w:r>
        <w:rPr>
          <w:bCs/>
          <w:b/>
        </w:rPr>
        <w:t xml:space="preserve">output, record why, and have the consequence modelled</w:t>
      </w:r>
      <w:r>
        <w:t xml:space="preserve">.</w:t>
      </w:r>
    </w:p>
    <w:bookmarkStart w:id="21" w:name="reading-the-rubric-before-designing"/>
    <w:p>
      <w:pPr>
        <w:pStyle w:val="Heading3"/>
      </w:pPr>
      <w:r>
        <w:t xml:space="preserve">Reading the rubric before designing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harness and 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SDLC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Human-in-the-loop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engineering and requirement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judgement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Production readiness is 5%. Half the marks go to</w:t>
      </w:r>
      <w:r>
        <w:t xml:space="preserve"> </w:t>
      </w:r>
      <w:r>
        <w:rPr>
          <w:bCs/>
          <w:b/>
        </w:rPr>
        <w:t xml:space="preserve">how the work was done</w:t>
      </w:r>
      <w:r>
        <w:t xml:space="preserve">, not</w:t>
      </w:r>
      <w:r>
        <w:t xml:space="preserve"> </w:t>
      </w:r>
      <w:r>
        <w:t xml:space="preserve">what was shipped. The brief states plainly that polished-looking output without</w:t>
      </w:r>
      <w:r>
        <w:t xml:space="preserve"> </w:t>
      </w:r>
      <w:r>
        <w:t xml:space="preserve">underlying engineering is not being evaluated.</w:t>
      </w:r>
    </w:p>
    <w:p>
      <w:pPr>
        <w:pStyle w:val="BodyText"/>
      </w:pPr>
      <w:r>
        <w:t xml:space="preserve">That reading produced the first design decision: build a</w:t>
      </w:r>
      <w:r>
        <w:t xml:space="preserve"> </w:t>
      </w:r>
      <w:r>
        <w:rPr>
          <w:bCs/>
          <w:b/>
        </w:rPr>
        <w:t xml:space="preserve">narrow system that</w:t>
      </w:r>
      <w:r>
        <w:rPr>
          <w:bCs/>
          <w:b/>
        </w:rPr>
        <w:t xml:space="preserve"> </w:t>
      </w:r>
      <w:r>
        <w:rPr>
          <w:bCs/>
          <w:b/>
        </w:rPr>
        <w:t xml:space="preserve">genuinely works, wrapped in thick evidence of engineering decisions</w:t>
      </w:r>
      <w:r>
        <w:t xml:space="preserve">, rather</w:t>
      </w:r>
      <w:r>
        <w:t xml:space="preserve"> </w:t>
      </w:r>
      <w:r>
        <w:t xml:space="preserve">than a broad application demonstrated once.</w:t>
      </w:r>
    </w:p>
    <w:bookmarkEnd w:id="21"/>
    <w:bookmarkEnd w:id="22"/>
    <w:bookmarkStart w:id="24" w:name="narrowing-the-problem"/>
    <w:p>
      <w:pPr>
        <w:pStyle w:val="Heading2"/>
      </w:pPr>
      <w:r>
        <w:t xml:space="preserve">2. Narrowing the problem</w:t>
      </w:r>
    </w:p>
    <w:p>
      <w:pPr>
        <w:pStyle w:val="FirstParagraph"/>
      </w:pPr>
      <w:r>
        <w:t xml:space="preserve">A financial crime risk assessment workbench covering every change type is not</w:t>
      </w:r>
      <w:r>
        <w:t xml:space="preserve"> </w:t>
      </w:r>
      <w:r>
        <w:t xml:space="preserve">buildable in the time available, and a thin version of everything would have</w:t>
      </w:r>
      <w:r>
        <w:t xml:space="preserve"> </w:t>
      </w:r>
      <w:r>
        <w:t xml:space="preserve">demonstrated nothing.</w:t>
      </w:r>
    </w:p>
    <w:p>
      <w:pPr>
        <w:pStyle w:val="BodyText"/>
      </w:pPr>
      <w:r>
        <w:t xml:space="preserve">We selected</w:t>
      </w:r>
      <w:r>
        <w:t xml:space="preserve"> </w:t>
      </w:r>
      <w:r>
        <w:rPr>
          <w:bCs/>
          <w:b/>
        </w:rPr>
        <w:t xml:space="preserve">one change type</w:t>
      </w:r>
      <w:r>
        <w:t xml:space="preserve"> </w:t>
      </w:r>
      <w:r>
        <w:t xml:space="preserve">and built the full loop through it: intake,</w:t>
      </w:r>
      <w:r>
        <w:t xml:space="preserve"> </w:t>
      </w:r>
      <w:r>
        <w:t xml:space="preserve">extraction, risk decomposition, deterministic scoring, human review with</w:t>
      </w:r>
      <w:r>
        <w:t xml:space="preserve"> </w:t>
      </w:r>
      <w:r>
        <w:t xml:space="preserve">override and recorded reason, committee escalation, and an immutable audit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The change type we selected was</w:t>
      </w:r>
      <w:r>
        <w:t xml:space="preserve"> </w:t>
      </w:r>
      <w:r>
        <w:rPr>
          <w:bCs/>
          <w:b/>
        </w:rPr>
        <w:t xml:space="preserve">onboarding a new correspondent banking</w:t>
      </w:r>
      <w:r>
        <w:rPr>
          <w:bCs/>
          <w:b/>
        </w:rPr>
        <w:t xml:space="preserve"> </w:t>
      </w:r>
      <w:r>
        <w:rPr>
          <w:bCs/>
          <w:b/>
        </w:rPr>
        <w:t xml:space="preserve">respondent</w:t>
      </w:r>
      <w:r>
        <w:t xml:space="preserve"> </w:t>
      </w:r>
      <w:r>
        <w:t xml:space="preserve">— a foreign financial institution applying for a correspondent</w:t>
      </w:r>
      <w:r>
        <w:t xml:space="preserve"> </w:t>
      </w:r>
      <w:r>
        <w:t xml:space="preserve">account at a US covered financial institution.</w:t>
      </w:r>
    </w:p>
    <w:bookmarkStart w:id="23" w:name="why-that-change-type"/>
    <w:p>
      <w:pPr>
        <w:pStyle w:val="Heading3"/>
      </w:pPr>
      <w:r>
        <w:t xml:space="preserve">Why that change type</w:t>
      </w:r>
    </w:p>
    <w:p>
      <w:pPr>
        <w:pStyle w:val="FirstParagraph"/>
      </w:pPr>
      <w:r>
        <w:rPr>
          <w:bCs/>
          <w:b/>
        </w:rPr>
        <w:t xml:space="preserve">It is legally mandated, not discretionary.</w:t>
      </w:r>
      <w:r>
        <w:t xml:space="preserve"> </w:t>
      </w:r>
      <w:r>
        <w:t xml:space="preserve">31 CFR 1010.610, implementing</w:t>
      </w:r>
      <w:r>
        <w:t xml:space="preserve"> </w:t>
      </w:r>
      <w:r>
        <w:t xml:space="preserve">Section 312 of the USA PATRIOT Act, requires covered financial institutions to</w:t>
      </w:r>
      <w:r>
        <w:t xml:space="preserve"> </w:t>
      </w:r>
      <w:r>
        <w:t xml:space="preserve">maintain a due diligence programme for correspondent accounts held for foreign</w:t>
      </w:r>
      <w:r>
        <w:t xml:space="preserve"> </w:t>
      </w:r>
      <w:r>
        <w:t xml:space="preserve">financial institutions. Paragraph (a) requires assessing the money laundering</w:t>
      </w:r>
      <w:r>
        <w:t xml:space="preserve"> </w:t>
      </w:r>
      <w:r>
        <w:t xml:space="preserve">risk presented by</w:t>
      </w:r>
      <w:r>
        <w:t xml:space="preserve"> </w:t>
      </w:r>
      <w:r>
        <w:rPr>
          <w:bCs/>
          <w:b/>
        </w:rPr>
        <w:t xml:space="preserve">each such account</w:t>
      </w:r>
      <w:r>
        <w:t xml:space="preserve">.</w:t>
      </w:r>
    </w:p>
    <w:p>
      <w:pPr>
        <w:pStyle w:val="BodyText"/>
      </w:pPr>
      <w:r>
        <w:t xml:space="preserve">That single sentence is the system. Where most change types are governed by</w:t>
      </w:r>
      <w:r>
        <w:t xml:space="preserve"> </w:t>
      </w:r>
      <w:r>
        <w:t xml:space="preserve">non-enforceable guidance, this one has a regulation behind it, which makes</w:t>
      </w:r>
      <w:r>
        <w:t xml:space="preserve"> </w:t>
      </w:r>
      <w:r>
        <w:t xml:space="preserve">every design decision citable rather than arguable.</w:t>
      </w:r>
    </w:p>
    <w:p>
      <w:pPr>
        <w:pStyle w:val="BodyText"/>
      </w:pPr>
      <w:r>
        <w:rPr>
          <w:bCs/>
          <w:b/>
        </w:rPr>
        <w:t xml:space="preserve">It has a published intake document.</w:t>
      </w:r>
      <w:r>
        <w:t xml:space="preserve"> </w:t>
      </w:r>
      <w:r>
        <w:t xml:space="preserve">Covered below.</w:t>
      </w:r>
    </w:p>
    <w:p>
      <w:pPr>
        <w:pStyle w:val="BodyText"/>
      </w:pPr>
      <w:r>
        <w:rPr>
          <w:bCs/>
          <w:b/>
        </w:rPr>
        <w:t xml:space="preserve">The approval chain is short enough to model completely</w:t>
      </w:r>
      <w:r>
        <w:t xml:space="preserve"> </w:t>
      </w:r>
      <w:r>
        <w:t xml:space="preserve">— analyst review,</w:t>
      </w:r>
      <w:r>
        <w:t xml:space="preserve"> </w:t>
      </w:r>
      <w:r>
        <w:t xml:space="preserve">assessment approval, committee for high-risk cases — so the full governance</w:t>
      </w:r>
      <w:r>
        <w:t xml:space="preserve"> </w:t>
      </w:r>
      <w:r>
        <w:t xml:space="preserve">loop fits in the time available rather than being sketched.</w:t>
      </w:r>
    </w:p>
    <w:bookmarkEnd w:id="23"/>
    <w:bookmarkEnd w:id="24"/>
    <w:bookmarkStart w:id="30" w:name="X714848816166ccb9943313bac0116f02dd24058"/>
    <w:p>
      <w:pPr>
        <w:pStyle w:val="Heading2"/>
      </w:pPr>
      <w:r>
        <w:t xml:space="preserve">3. Research evaluation: selecting the source instruments</w:t>
      </w:r>
    </w:p>
    <w:p>
      <w:pPr>
        <w:pStyle w:val="FirstParagraph"/>
      </w:pPr>
      <w:r>
        <w:t xml:space="preserve">This section records how the intake instruments were chosen, including the</w:t>
      </w:r>
      <w:r>
        <w:t xml:space="preserve"> </w:t>
      </w:r>
      <w:r>
        <w:t xml:space="preserve">path we took that turned out to be wrong.</w:t>
      </w:r>
    </w:p>
    <w:bookmarkStart w:id="25" w:name="the-first-approach-and-why-it-failed"/>
    <w:p>
      <w:pPr>
        <w:pStyle w:val="Heading3"/>
      </w:pPr>
      <w:r>
        <w:t xml:space="preserve">3.1 The first approach, and why it failed</w:t>
      </w:r>
    </w:p>
    <w:p>
      <w:pPr>
        <w:pStyle w:val="FirstParagraph"/>
      </w:pPr>
      <w:r>
        <w:t xml:space="preserve">The initial framing was generic</w:t>
      </w:r>
      <w:r>
        <w:t xml:space="preserve"> </w:t>
      </w:r>
      <w:r>
        <w:rPr>
          <w:bCs/>
          <w:b/>
        </w:rPr>
        <w:t xml:space="preserve">third-party vendor onboarding</w:t>
      </w:r>
      <w:r>
        <w:t xml:space="preserve">. Under that</w:t>
      </w:r>
      <w:r>
        <w:t xml:space="preserve"> </w:t>
      </w:r>
      <w:r>
        <w:t xml:space="preserve">framing the research pointed at the Interagency Guidance on Third-Party</w:t>
      </w:r>
      <w:r>
        <w:t xml:space="preserve"> </w:t>
      </w:r>
      <w:r>
        <w:t xml:space="preserve">Relationships: Risk Management (88 FR 37920, June 2023), and at the proposed</w:t>
      </w:r>
      <w:r>
        <w:t xml:space="preserve"> </w:t>
      </w:r>
      <w:r>
        <w:t xml:space="preserve">replacement issued 15 September 2026 (91 FR 58536).</w:t>
      </w:r>
    </w:p>
    <w:p>
      <w:pPr>
        <w:pStyle w:val="BodyText"/>
      </w:pPr>
      <w:r>
        <w:t xml:space="preserve">Three findings ended that approach.</w:t>
      </w:r>
    </w:p>
    <w:p>
      <w:pPr>
        <w:pStyle w:val="BodyText"/>
      </w:pPr>
      <w:r>
        <w:rPr>
          <w:bCs/>
          <w:b/>
        </w:rPr>
        <w:t xml:space="preserve">The guidance is non-enforceable.</w:t>
      </w:r>
      <w:r>
        <w:t xml:space="preserve"> </w:t>
      </w:r>
      <w:r>
        <w:t xml:space="preserve">It states explicitly that it does not set</w:t>
      </w:r>
      <w:r>
        <w:t xml:space="preserve"> </w:t>
      </w:r>
      <w:r>
        <w:t xml:space="preserve">forth enforceable standards, that non-compliance will not result in supervisory</w:t>
      </w:r>
      <w:r>
        <w:t xml:space="preserve"> </w:t>
      </w:r>
      <w:r>
        <w:t xml:space="preserve">action, and that deviation from it is not alone a basis for action. It also</w:t>
      </w:r>
      <w:r>
        <w:t xml:space="preserve"> </w:t>
      </w:r>
      <w:r>
        <w:t xml:space="preserve">states there are no generally applicable expected contract terms even for</w:t>
      </w:r>
      <w:r>
        <w:t xml:space="preserve"> </w:t>
      </w:r>
      <w:r>
        <w:t xml:space="preserve">higher-risk relationships. A system built on it would have had almost nothing</w:t>
      </w:r>
      <w:r>
        <w:t xml:space="preserve"> </w:t>
      </w:r>
      <w:r>
        <w:t xml:space="preserve">mandatory to demonstrate.</w:t>
      </w:r>
    </w:p>
    <w:p>
      <w:pPr>
        <w:pStyle w:val="BodyText"/>
      </w:pPr>
      <w:r>
        <w:rPr>
          <w:bCs/>
          <w:b/>
        </w:rPr>
        <w:t xml:space="preserve">There is no published risk decomposition for vendors.</w:t>
      </w:r>
      <w:r>
        <w:t xml:space="preserve"> </w:t>
      </w:r>
      <w:r>
        <w:t xml:space="preserve">The 2026 proposal</w:t>
      </w:r>
      <w:r>
        <w:t xml:space="preserve"> </w:t>
      </w:r>
      <w:r>
        <w:t xml:space="preserve">asks for comment on whether the guidance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include a list of</w:t>
      </w:r>
      <w:r>
        <w:t xml:space="preserve"> </w:t>
      </w:r>
      <w:r>
        <w:t xml:space="preserve">characteristics indicating a high-risk relationship — which establishes that no</w:t>
      </w:r>
      <w:r>
        <w:t xml:space="preserve"> </w:t>
      </w:r>
      <w:r>
        <w:t xml:space="preserve">such list currently exists. The brief demanded decomposition grounded in</w:t>
      </w:r>
      <w:r>
        <w:t xml:space="preserve"> </w:t>
      </w:r>
      <w:r>
        <w:t xml:space="preserve">published frameworks. For vendor risk, there is none to ground in.</w:t>
      </w:r>
    </w:p>
    <w:p>
      <w:pPr>
        <w:pStyle w:val="BodyText"/>
      </w:pPr>
      <w:r>
        <w:rPr>
          <w:bCs/>
          <w:b/>
        </w:rPr>
        <w:t xml:space="preserve">A citation we intended to use does not apply.</w:t>
      </w:r>
      <w:r>
        <w:t xml:space="preserve"> </w:t>
      </w:r>
      <w:r>
        <w:t xml:space="preserve">FATF Recommendation 9 covers</w:t>
      </w:r>
      <w:r>
        <w:t xml:space="preserve"> </w:t>
      </w:r>
      <w:r>
        <w:t xml:space="preserve">reliance on third parties, and its Interpretative Note states that it</w:t>
      </w:r>
      <w:r>
        <w:t xml:space="preserve"> </w:t>
      </w:r>
      <w:r>
        <w:rPr>
          <w:bCs/>
          <w:b/>
        </w:rPr>
        <w:t xml:space="preserve">does</w:t>
      </w:r>
      <w:r>
        <w:rPr>
          <w:bCs/>
          <w:b/>
        </w:rPr>
        <w:t xml:space="preserve"> </w:t>
      </w:r>
      <w:r>
        <w:rPr>
          <w:bCs/>
          <w:b/>
        </w:rPr>
        <w:t xml:space="preserve">not apply to outsourcing or agency relationships</w:t>
      </w:r>
      <w:r>
        <w:t xml:space="preserve">. Had that citation reached a</w:t>
      </w:r>
      <w:r>
        <w:t xml:space="preserve"> </w:t>
      </w:r>
      <w:r>
        <w:t xml:space="preserve">panel, it would have been wrong on its face.</w:t>
      </w:r>
    </w:p>
    <w:p>
      <w:pPr>
        <w:pStyle w:val="BodyText"/>
      </w:pPr>
      <w:r>
        <w:t xml:space="preserve">The root cause was selecting sources that matched the</w:t>
      </w:r>
      <w:r>
        <w:t xml:space="preserve"> </w:t>
      </w:r>
      <w:r>
        <w:rPr>
          <w:iCs/>
          <w:i/>
        </w:rPr>
        <w:t xml:space="preserve">domain label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financial crime</w:t>
      </w:r>
      <w:r>
        <w:t xml:space="preserve">”</w:t>
      </w:r>
      <w:r>
        <w:t xml:space="preserve"> </w:t>
      </w:r>
      <w:r>
        <w:t xml:space="preserve">produced the AML canon,</w:t>
      </w:r>
      <w:r>
        <w:t xml:space="preserve"> </w:t>
      </w:r>
      <w:r>
        <w:t xml:space="preserve">“</w:t>
      </w:r>
      <w:r>
        <w:t xml:space="preserve">third party</w:t>
      </w:r>
      <w:r>
        <w:t xml:space="preserve">”</w:t>
      </w:r>
      <w:r>
        <w:t xml:space="preserve"> </w:t>
      </w:r>
      <w:r>
        <w:t xml:space="preserve">produced the vendor</w:t>
      </w:r>
      <w:r>
        <w:t xml:space="preserve"> </w:t>
      </w:r>
      <w:r>
        <w:t xml:space="preserve">guidance — rather than the</w:t>
      </w:r>
      <w:r>
        <w:t xml:space="preserve"> </w:t>
      </w:r>
      <w:r>
        <w:rPr>
          <w:iCs/>
          <w:i/>
        </w:rPr>
        <w:t xml:space="preserve">decision the system makes</w:t>
      </w:r>
      <w:r>
        <w:t xml:space="preserve">. The corrected method</w:t>
      </w:r>
      <w:r>
        <w:t xml:space="preserve"> </w:t>
      </w:r>
      <w:r>
        <w:t xml:space="preserve">was to name the decision first, then find the framework governing that</w:t>
      </w:r>
      <w:r>
        <w:t xml:space="preserve"> </w:t>
      </w:r>
      <w:r>
        <w:t xml:space="preserve">decision.</w:t>
      </w:r>
    </w:p>
    <w:bookmarkEnd w:id="25"/>
    <w:bookmarkStart w:id="26" w:name="why-the-wolfsberg-cbddq"/>
    <w:p>
      <w:pPr>
        <w:pStyle w:val="Heading3"/>
      </w:pPr>
      <w:r>
        <w:t xml:space="preserve">3.2 Why the Wolfsberg CBDDQ</w:t>
      </w:r>
    </w:p>
    <w:p>
      <w:pPr>
        <w:pStyle w:val="FirstParagraph"/>
      </w:pPr>
      <w:r>
        <w:t xml:space="preserve">Once the scope was corrected to correspondent banking, the intake document</w:t>
      </w:r>
      <w:r>
        <w:t xml:space="preserve"> </w:t>
      </w:r>
      <w:r>
        <w:t xml:space="preserve">chose itself.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Wolfsberg Group Correspondent Banking Due Diligence Questionnaire</w:t>
      </w:r>
      <w:r>
        <w:rPr>
          <w:bCs/>
          <w:b/>
        </w:rPr>
        <w:t xml:space="preserve"> </w:t>
      </w:r>
      <w:r>
        <w:rPr>
          <w:bCs/>
          <w:b/>
        </w:rPr>
        <w:t xml:space="preserve">(CBDDQ) V1.4</w:t>
      </w:r>
      <w:r>
        <w:t xml:space="preserve"> </w:t>
      </w:r>
      <w:r>
        <w:t xml:space="preserve">is the industry standard instrument for exactly this</w:t>
      </w:r>
      <w:r>
        <w:t xml:space="preserve"> </w:t>
      </w:r>
      <w:r>
        <w:t xml:space="preserve">relationship. Four properties made it the right choice over a questionnaire of</w:t>
      </w:r>
      <w:r>
        <w:t xml:space="preserve"> </w:t>
      </w:r>
      <w:r>
        <w:t xml:space="preserve">our own design.</w:t>
      </w:r>
    </w:p>
    <w:p>
      <w:pPr>
        <w:pStyle w:val="BodyText"/>
      </w:pPr>
      <w:r>
        <w:rPr>
          <w:bCs/>
          <w:b/>
        </w:rPr>
        <w:t xml:space="preserve">It already exists and is already in use.</w:t>
      </w:r>
      <w:r>
        <w:t xml:space="preserve"> </w:t>
      </w:r>
      <w:r>
        <w:t xml:space="preserve">Respondent banks maintain a</w:t>
      </w:r>
      <w:r>
        <w:t xml:space="preserve"> </w:t>
      </w:r>
      <w:r>
        <w:t xml:space="preserve">completed, senior-attested CBDDQ and send the same copy to every correspondent</w:t>
      </w:r>
      <w:r>
        <w:t xml:space="preserve"> </w:t>
      </w:r>
      <w:r>
        <w:t xml:space="preserve">they deal with, refreshed annually. The system reads a document the client</w:t>
      </w:r>
      <w:r>
        <w:t xml:space="preserve"> </w:t>
      </w:r>
      <w:r>
        <w:t xml:space="preserve">already receives, rather than requiring respondents to complete a bespoke form.</w:t>
      </w:r>
      <w:r>
        <w:t xml:space="preserve"> </w:t>
      </w:r>
      <w:r>
        <w:t xml:space="preserve">A respondent who refuses an unfamiliar form is indistinguishable in a workflow</w:t>
      </w:r>
      <w:r>
        <w:t xml:space="preserve"> </w:t>
      </w:r>
      <w:r>
        <w:t xml:space="preserve">from one who is hiding something.</w:t>
      </w:r>
    </w:p>
    <w:p>
      <w:pPr>
        <w:pStyle w:val="BodyText"/>
      </w:pPr>
      <w:r>
        <w:rPr>
          <w:bCs/>
          <w:b/>
        </w:rPr>
        <w:t xml:space="preserve">It is published, free, and copyright-clear for use.</w:t>
      </w:r>
      <w:r>
        <w:t xml:space="preserve"> </w:t>
      </w:r>
      <w:r>
        <w:t xml:space="preserve">No licensing obstacle,</w:t>
      </w:r>
      <w:r>
        <w:t xml:space="preserve"> </w:t>
      </w:r>
      <w:r>
        <w:t xml:space="preserve">and the full structure is inspectable.</w:t>
      </w:r>
    </w:p>
    <w:p>
      <w:pPr>
        <w:pStyle w:val="BodyText"/>
      </w:pPr>
      <w:r>
        <w:rPr>
          <w:bCs/>
          <w:b/>
        </w:rPr>
        <w:t xml:space="preserve">It is substantial and well-structured.</w:t>
      </w:r>
      <w:r>
        <w:t xml:space="preserve"> </w:t>
      </w:r>
      <w:r>
        <w:t xml:space="preserve">132 numbered questions across 14</w:t>
      </w:r>
      <w:r>
        <w:t xml:space="preserve"> </w:t>
      </w:r>
      <w:r>
        <w:t xml:space="preserve">sections, with stable question identifiers, conditional sub-branching, a</w:t>
      </w:r>
      <w:r>
        <w:t xml:space="preserve"> </w:t>
      </w:r>
      <w:r>
        <w:t xml:space="preserve">“</w:t>
      </w:r>
      <w:r>
        <w:t xml:space="preserve">Please select</w:t>
      </w:r>
      <w:r>
        <w:t xml:space="preserve">”</w:t>
      </w:r>
      <w:r>
        <w:t xml:space="preserve"> </w:t>
      </w:r>
      <w:r>
        <w:t xml:space="preserve">default that distinguishes</w:t>
      </w:r>
      <w:r>
        <w:t xml:space="preserve"> </w:t>
      </w:r>
      <w:r>
        <w:rPr>
          <w:iCs/>
          <w:i/>
        </w:rPr>
        <w:t xml:space="preserve">unanswered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No</w:t>
      </w:r>
      <w:r>
        <w:t xml:space="preserve">, section-level</w:t>
      </w:r>
      <w:r>
        <w:t xml:space="preserve"> </w:t>
      </w:r>
      <w:r>
        <w:t xml:space="preserve">branch attestations, and a declaration signed by the Global Head of</w:t>
      </w:r>
      <w:r>
        <w:t xml:space="preserve"> </w:t>
      </w:r>
      <w:r>
        <w:t xml:space="preserve">Correspondent Banking and the MLRO.</w:t>
      </w:r>
    </w:p>
    <w:p>
      <w:pPr>
        <w:pStyle w:val="BodyText"/>
      </w:pPr>
      <w:r>
        <w:rPr>
          <w:bCs/>
          <w:b/>
        </w:rPr>
        <w:t xml:space="preserve">It made the extraction problem real rather than synthetic.</w:t>
      </w:r>
      <w:r>
        <w:t xml:space="preserve"> </w:t>
      </w:r>
      <w:r>
        <w:t xml:space="preserve">We obtained a</w:t>
      </w:r>
      <w:r>
        <w:t xml:space="preserve"> </w:t>
      </w:r>
      <w:r>
        <w:t xml:space="preserve">genuine completed CBDDQ — a real bank’s published submission — as a validation</w:t>
      </w:r>
      <w:r>
        <w:t xml:space="preserve"> </w:t>
      </w:r>
      <w:r>
        <w:t xml:space="preserve">case. Testing extraction against a document someone actually filed is a</w:t>
      </w:r>
      <w:r>
        <w:t xml:space="preserve"> </w:t>
      </w:r>
      <w:r>
        <w:t xml:space="preserve">materially stronger demonstration than testing against a form we wrote and then</w:t>
      </w:r>
      <w:r>
        <w:t xml:space="preserve"> </w:t>
      </w:r>
      <w:r>
        <w:t xml:space="preserve">populated ourselves.</w:t>
      </w:r>
    </w:p>
    <w:bookmarkEnd w:id="26"/>
    <w:bookmarkStart w:id="27" w:name="why-the-cbddq-alone-was-insufficient"/>
    <w:p>
      <w:pPr>
        <w:pStyle w:val="Heading3"/>
      </w:pPr>
      <w:r>
        <w:t xml:space="preserve">3.3 Why the CBDDQ alone was insufficient</w:t>
      </w:r>
    </w:p>
    <w:p>
      <w:pPr>
        <w:pStyle w:val="FirstParagraph"/>
      </w:pPr>
      <w:r>
        <w:t xml:space="preserve">The CBDDQ describes</w:t>
      </w:r>
      <w:r>
        <w:t xml:space="preserve"> </w:t>
      </w:r>
      <w:r>
        <w:rPr>
          <w:bCs/>
          <w:b/>
        </w:rPr>
        <w:t xml:space="preserve">the respondent institution</w:t>
      </w:r>
      <w:r>
        <w:t xml:space="preserve">. It says nothing about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account being opened</w:t>
      </w:r>
      <w:r>
        <w:t xml:space="preserve">.</w:t>
      </w:r>
    </w:p>
    <w:p>
      <w:pPr>
        <w:pStyle w:val="BodyText"/>
      </w:pPr>
      <w:r>
        <w:t xml:space="preserve">That gap is not cosmetic. 31 CFR 1010.610(a)(3) requires periodic review of</w:t>
      </w:r>
      <w:r>
        <w:t xml:space="preserve"> </w:t>
      </w:r>
      <w:r>
        <w:t xml:space="preserve">account activity sufficient to determine consistency with information obtained</w:t>
      </w:r>
      <w:r>
        <w:t xml:space="preserve"> </w:t>
      </w:r>
      <w:r>
        <w:t xml:space="preserve">about the</w:t>
      </w:r>
      <w:r>
        <w:t xml:space="preserve"> </w:t>
      </w:r>
      <w:r>
        <w:rPr>
          <w:bCs/>
          <w:b/>
        </w:rPr>
        <w:t xml:space="preserve">type, purpose and anticipated activity</w:t>
      </w:r>
      <w:r>
        <w:t xml:space="preserve"> </w:t>
      </w:r>
      <w:r>
        <w:t xml:space="preserve">of the account. None of</w:t>
      </w:r>
      <w:r>
        <w:t xml:space="preserve"> </w:t>
      </w:r>
      <w:r>
        <w:t xml:space="preserve">those three can be derived from the respondent’s self-description. Without</w:t>
      </w:r>
      <w:r>
        <w:t xml:space="preserve"> </w:t>
      </w:r>
      <w:r>
        <w:t xml:space="preserve">them, the monitoring requirement is unimplementable because there is no</w:t>
      </w:r>
      <w:r>
        <w:t xml:space="preserve"> </w:t>
      </w:r>
      <w:r>
        <w:t xml:space="preserve">baseline to compare against.</w:t>
      </w:r>
    </w:p>
    <w:p>
      <w:pPr>
        <w:pStyle w:val="BodyText"/>
      </w:pPr>
      <w:r>
        <w:t xml:space="preserve">Three further determinations also cannot come from the CBDDQ, for a reason of</w:t>
      </w:r>
      <w:r>
        <w:t xml:space="preserve"> </w:t>
      </w:r>
      <w:r>
        <w:t xml:space="preserve">principle rather than data availability:</w:t>
      </w:r>
    </w:p>
    <w:p>
      <w:pPr>
        <w:numPr>
          <w:ilvl w:val="0"/>
          <w:numId w:val="1003"/>
        </w:numPr>
        <w:pStyle w:val="Compact"/>
      </w:pPr>
      <w:r>
        <w:t xml:space="preserve">which services the provider will offer this respondent</w:t>
      </w:r>
    </w:p>
    <w:p>
      <w:pPr>
        <w:numPr>
          <w:ilvl w:val="0"/>
          <w:numId w:val="1003"/>
        </w:numPr>
        <w:pStyle w:val="Compact"/>
      </w:pPr>
      <w:r>
        <w:t xml:space="preserve">whether nesting or downstream relationships will be permitted</w:t>
      </w:r>
    </w:p>
    <w:p>
      <w:pPr>
        <w:numPr>
          <w:ilvl w:val="0"/>
          <w:numId w:val="1003"/>
        </w:numPr>
        <w:pStyle w:val="Compact"/>
      </w:pPr>
      <w:r>
        <w:t xml:space="preserve">whether a mandatory enhanced due diligence trigger applies under</w:t>
      </w:r>
      <w:r>
        <w:t xml:space="preserve"> </w:t>
      </w:r>
      <w:r>
        <w:t xml:space="preserve">31 CFR 1010.610(c)</w:t>
      </w:r>
    </w:p>
    <w:p>
      <w:pPr>
        <w:pStyle w:val="FirstParagraph"/>
      </w:pPr>
      <w:r>
        <w:t xml:space="preserve">The last one matters most.</w:t>
      </w:r>
      <w:r>
        <w:t xml:space="preserve"> </w:t>
      </w:r>
      <w:r>
        <w:rPr>
          <w:bCs/>
          <w:b/>
        </w:rPr>
        <w:t xml:space="preserve">The party being assessed cannot be the source of</w:t>
      </w:r>
      <w:r>
        <w:rPr>
          <w:bCs/>
          <w:b/>
        </w:rPr>
        <w:t xml:space="preserve"> </w:t>
      </w:r>
      <w:r>
        <w:rPr>
          <w:bCs/>
          <w:b/>
        </w:rPr>
        <w:t xml:space="preserve">the determination about whether it triggers an exclusion.</w:t>
      </w:r>
      <w:r>
        <w:t xml:space="preserve"> </w:t>
      </w:r>
      <w:r>
        <w:t xml:space="preserve">Two of the three</w:t>
      </w:r>
      <w:r>
        <w:t xml:space="preserve"> </w:t>
      </w:r>
      <w:r>
        <w:t xml:space="preserve">EDD triggers are jurisdictional and come from lists the provider maintains.</w:t>
      </w:r>
    </w:p>
    <w:bookmarkEnd w:id="27"/>
    <w:bookmarkStart w:id="28" w:name="X8f13dd6239ab25f271a6fdba8a189dce87461fc"/>
    <w:p>
      <w:pPr>
        <w:pStyle w:val="Heading3"/>
      </w:pPr>
      <w:r>
        <w:t xml:space="preserve">3.4 Why a second, provider-completed instrument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Relationship Scoping Form</w:t>
      </w:r>
      <w:r>
        <w:t xml:space="preserve"> </w:t>
      </w:r>
      <w:r>
        <w:t xml:space="preserve">was designed to carry exactly what the CBDDQ</w:t>
      </w:r>
      <w:r>
        <w:t xml:space="preserve"> </w:t>
      </w:r>
      <w:r>
        <w:t xml:space="preserve">structurally cannot. Fifty-two fields across ten sections: account purpose and</w:t>
      </w:r>
      <w:r>
        <w:t xml:space="preserve"> </w:t>
      </w:r>
      <w:r>
        <w:t xml:space="preserve">type, services to be offered, the nesting and payable-through decisions, the</w:t>
      </w:r>
      <w:r>
        <w:t xml:space="preserve"> </w:t>
      </w:r>
      <w:r>
        <w:t xml:space="preserve">anticipated activity baseline, provider-side sanctions and jurisdiction</w:t>
      </w:r>
      <w:r>
        <w:t xml:space="preserve"> </w:t>
      </w:r>
      <w:r>
        <w:t xml:space="preserve">pre-screening, concentration exposure, and attestation.</w:t>
      </w:r>
    </w:p>
    <w:p>
      <w:pPr>
        <w:pStyle w:val="BodyText"/>
      </w:pPr>
      <w:r>
        <w:t xml:space="preserve">It is completed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CBDDQ is requested. That ordering is deliberate</w:t>
      </w:r>
      <w:r>
        <w:t xml:space="preserve"> </w:t>
      </w:r>
      <w:r>
        <w:t xml:space="preserve">and carries three consequences:</w:t>
      </w:r>
    </w:p>
    <w:p>
      <w:pPr>
        <w:pStyle w:val="BodyText"/>
      </w:pPr>
      <w:r>
        <w:rPr>
          <w:bCs/>
          <w:b/>
        </w:rPr>
        <w:t xml:space="preserve">The EDD determination is made from provider sources.</w:t>
      </w:r>
      <w:r>
        <w:t xml:space="preserve"> </w:t>
      </w:r>
      <w:r>
        <w:t xml:space="preserve">A sanctions hit means</w:t>
      </w:r>
      <w:r>
        <w:t xml:space="preserve"> </w:t>
      </w:r>
      <w:r>
        <w:t xml:space="preserve">the questionnaire is never issued at all.</w:t>
      </w:r>
    </w:p>
    <w:p>
      <w:pPr>
        <w:pStyle w:val="BodyText"/>
      </w:pPr>
      <w:r>
        <w:rPr>
          <w:bCs/>
          <w:b/>
        </w:rPr>
        <w:t xml:space="preserve">The activity baseline stays uncontaminated.</w:t>
      </w:r>
      <w:r>
        <w:t xml:space="preserve"> </w:t>
      </w:r>
      <w:r>
        <w:t xml:space="preserve">A relationship manager who</w:t>
      </w:r>
      <w:r>
        <w:t xml:space="preserve"> </w:t>
      </w:r>
      <w:r>
        <w:t xml:space="preserve">completes the scoping form after reading the respondent’s questionnaire anchors</w:t>
      </w:r>
      <w:r>
        <w:t xml:space="preserve"> </w:t>
      </w:r>
      <w:r>
        <w:t xml:space="preserve">to it, and the result is a restatement of the respondent’s claims rather than</w:t>
      </w:r>
      <w:r>
        <w:t xml:space="preserve"> </w:t>
      </w:r>
      <w:r>
        <w:t xml:space="preserve">an independent expectation. Monitoring compares actual activity against what</w:t>
      </w:r>
      <w:r>
        <w:t xml:space="preserve"> </w:t>
      </w:r>
      <w:r>
        <w:t xml:space="preserve">the provider expected, not against what the respondent asserted.</w:t>
      </w:r>
    </w:p>
    <w:p>
      <w:pPr>
        <w:pStyle w:val="BodyText"/>
      </w:pPr>
      <w:r>
        <w:rPr>
          <w:bCs/>
          <w:b/>
        </w:rPr>
        <w:t xml:space="preserve">It makes cross-source reconciliation possible.</w:t>
      </w:r>
      <w:r>
        <w:t xml:space="preserve"> </w:t>
      </w:r>
      <w:r>
        <w:t xml:space="preserve">Fifteen contradiction rules</w:t>
      </w:r>
      <w:r>
        <w:t xml:space="preserve"> </w:t>
      </w:r>
      <w:r>
        <w:t xml:space="preserve">run between the two instruments. All of them assume the two were formed</w:t>
      </w:r>
      <w:r>
        <w:t xml:space="preserve"> </w:t>
      </w:r>
      <w:r>
        <w:t xml:space="preserve">independently. If scoping were completed with the CBDDQ open alongside, the</w:t>
      </w:r>
      <w:r>
        <w:t xml:space="preserve"> </w:t>
      </w:r>
      <w:r>
        <w:t xml:space="preserve">corridors would always match because they were copied, and the reconciliation</w:t>
      </w:r>
      <w:r>
        <w:t xml:space="preserve"> </w:t>
      </w:r>
      <w:r>
        <w:t xml:space="preserve">engine would be checking a document against itself.</w:t>
      </w:r>
    </w:p>
    <w:bookmarkEnd w:id="28"/>
    <w:bookmarkStart w:id="29" w:name="instruments-evaluated-and-not-used"/>
    <w:p>
      <w:pPr>
        <w:pStyle w:val="Heading3"/>
      </w:pPr>
      <w:r>
        <w:t xml:space="preserve">3.5 Instruments evaluated and not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Considered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Bespoke respondent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Rejected. Would have consumed the build window and produced something worse than the 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Assessments 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Rejected. Licensed, and scoped to vendor rather than correspondent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/ ISO 27001 as primary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Rejected. Control evidence, not a 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Interagency third-party guidance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the vendor scope</w:t>
            </w:r>
          </w:p>
        </w:tc>
      </w:tr>
    </w:tbl>
    <w:bookmarkEnd w:id="29"/>
    <w:bookmarkEnd w:id="30"/>
    <w:bookmarkStart w:id="32" w:name="framework-grounding"/>
    <w:p>
      <w:pPr>
        <w:pStyle w:val="Heading2"/>
      </w:pPr>
      <w:r>
        <w:t xml:space="preserve">4. Framework grounding</w:t>
      </w:r>
    </w:p>
    <w:p>
      <w:pPr>
        <w:pStyle w:val="FirstParagraph"/>
      </w:pPr>
      <w:r>
        <w:t xml:space="preserve">The brief required risk decomposition grounded in published supervisory</w:t>
      </w:r>
      <w:r>
        <w:t xml:space="preserve"> </w:t>
      </w:r>
      <w:r>
        <w:t xml:space="preserve">frameworks. Four layers were used, each for a specific purpose.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CFR 1010.610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requirement to assess each account; mandatory EDD triggers; the procedure when due diligence cannot be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CFR 1010.630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shell bank prohibition — a prohibition, not a weighted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FATF Rec 7, 18, 6,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Correspondent banking requirements, shell banks, PEPs, bearer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FFIEC BSA/AML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Method, not content.</w:t>
            </w:r>
            <w:r>
              <w:t xml:space="preserve"> </w:t>
            </w:r>
            <w:r>
              <w:t xml:space="preserve">The two-step identify-then-analyse process; that a bank may weight some factors more heavily than others; that sound practice is to document the factors considered</w:t>
            </w:r>
            <w:r>
              <w:t xml:space="preserve"> </w:t>
            </w:r>
            <w:r>
              <w:rPr>
                <w:bCs/>
                <w:b/>
              </w:rPr>
              <w:t xml:space="preserve">including any weighting</w:t>
            </w:r>
            <w:r>
              <w:t xml:space="preserve">; and that no single indicator is determinative</w:t>
            </w:r>
          </w:p>
        </w:tc>
      </w:tr>
    </w:tbl>
    <w:p>
      <w:pPr>
        <w:pStyle w:val="BodyText"/>
      </w:pPr>
      <w:r>
        <w:t xml:space="preserve">The FFIEC contribution is worth stating precisely, because it is easy to</w:t>
      </w:r>
      <w:r>
        <w:t xml:space="preserve"> </w:t>
      </w:r>
      <w:r>
        <w:t xml:space="preserve">overclaim. Its risk categories describe a bank’s assessment of</w:t>
      </w:r>
      <w:r>
        <w:t xml:space="preserve"> </w:t>
      </w:r>
      <w:r>
        <w:rPr>
          <w:bCs/>
          <w:b/>
        </w:rPr>
        <w:t xml:space="preserve">its own</w:t>
      </w:r>
      <w:r>
        <w:t xml:space="preserve"> </w:t>
      </w:r>
      <w:r>
        <w:t xml:space="preserve">ML/TF</w:t>
      </w:r>
      <w:r>
        <w:t xml:space="preserve"> </w:t>
      </w:r>
      <w:r>
        <w:t xml:space="preserve">profile, not its assessment of a counterparty. What transfers is the method and</w:t>
      </w:r>
      <w:r>
        <w:t xml:space="preserve"> </w:t>
      </w:r>
      <w:r>
        <w:t xml:space="preserve">the explicit sanction to weight and document. The model is defensible not</w:t>
      </w:r>
      <w:r>
        <w:t xml:space="preserve"> </w:t>
      </w:r>
      <w:r>
        <w:t xml:space="preserve">because the weights are provably correct — nobody can establish that — but</w:t>
      </w:r>
      <w:r>
        <w:t xml:space="preserve"> </w:t>
      </w:r>
      <w:r>
        <w:t xml:space="preserve">because they are written down, versioned and justified, which is the standard</w:t>
      </w:r>
      <w:r>
        <w:t xml:space="preserve"> </w:t>
      </w:r>
      <w:r>
        <w:t xml:space="preserve">the manual actually sets.</w:t>
      </w:r>
    </w:p>
    <w:bookmarkStart w:id="31" w:name="the-one-design-decision-this-produced"/>
    <w:p>
      <w:pPr>
        <w:pStyle w:val="Heading3"/>
      </w:pPr>
      <w:r>
        <w:t xml:space="preserve">The one design decision this produced</w:t>
      </w:r>
    </w:p>
    <w:p>
      <w:pPr>
        <w:pStyle w:val="FirstParagraph"/>
      </w:pPr>
      <w:r>
        <w:t xml:space="preserve">Two sources appear to conflict. FATF Rec 18 and 31 CFR 1010.630 direct that a</w:t>
      </w:r>
      <w:r>
        <w:t xml:space="preserve"> </w:t>
      </w:r>
      <w:r>
        <w:t xml:space="preserve">shell bank relationship be</w:t>
      </w:r>
      <w:r>
        <w:t xml:space="preserve"> </w:t>
      </w:r>
      <w:r>
        <w:rPr>
          <w:bCs/>
          <w:b/>
        </w:rPr>
        <w:t xml:space="preserve">refused</w:t>
      </w:r>
      <w:r>
        <w:t xml:space="preserve">. The FFIEC manual warns that</w:t>
      </w:r>
      <w:r>
        <w:t xml:space="preserve"> </w:t>
      </w:r>
      <w:r>
        <w:rPr>
          <w:bCs/>
          <w:b/>
        </w:rPr>
        <w:t xml:space="preserve">no single</w:t>
      </w:r>
      <w:r>
        <w:rPr>
          <w:bCs/>
          <w:b/>
        </w:rPr>
        <w:t xml:space="preserve"> </w:t>
      </w:r>
      <w:r>
        <w:rPr>
          <w:bCs/>
          <w:b/>
        </w:rPr>
        <w:t xml:space="preserve">indicator</w:t>
      </w:r>
      <w:r>
        <w:t xml:space="preserve"> </w:t>
      </w:r>
      <w:r>
        <w:t xml:space="preserve">should determine a higher or lower risk profile.</w:t>
      </w:r>
    </w:p>
    <w:p>
      <w:pPr>
        <w:pStyle w:val="BodyText"/>
      </w:pPr>
      <w:r>
        <w:t xml:space="preserve">A prohibition cannot be expressed as a weight, because any weight implies good</w:t>
      </w:r>
      <w:r>
        <w:t xml:space="preserve"> </w:t>
      </w:r>
      <w:r>
        <w:t xml:space="preserve">answers elsewhere could outscore it. Equally, a weighted model with a kill</w:t>
      </w:r>
      <w:r>
        <w:t xml:space="preserve"> </w:t>
      </w:r>
      <w:r>
        <w:t xml:space="preserve">switch contradicts the FFIEC caution.</w:t>
      </w:r>
    </w:p>
    <w:p>
      <w:pPr>
        <w:pStyle w:val="BodyText"/>
      </w:pPr>
      <w:r>
        <w:t xml:space="preserve">The resolution:</w:t>
      </w:r>
      <w:r>
        <w:t xml:space="preserve"> </w:t>
      </w:r>
      <w:r>
        <w:rPr>
          <w:bCs/>
          <w:b/>
        </w:rPr>
        <w:t xml:space="preserve">two separate mechanisms</w:t>
      </w:r>
      <w:r>
        <w:t xml:space="preserve">. Hard exclusions run before scoring</w:t>
      </w:r>
      <w:r>
        <w:t xml:space="preserve"> </w:t>
      </w:r>
      <w:r>
        <w:t xml:space="preserve">as binary tests. Nothing inside the weighted model can reach the top band</w:t>
      </w:r>
      <w:r>
        <w:t xml:space="preserve"> </w:t>
      </w:r>
      <w:r>
        <w:t xml:space="preserve">alone. Both documents are satisfied, and neither is bent to fit.</w:t>
      </w:r>
    </w:p>
    <w:bookmarkEnd w:id="31"/>
    <w:bookmarkEnd w:id="32"/>
    <w:bookmarkStart w:id="36" w:name="the-architecture-that-followed"/>
    <w:p>
      <w:pPr>
        <w:pStyle w:val="Heading2"/>
      </w:pPr>
      <w:r>
        <w:t xml:space="preserve">5. The architecture that followed</w:t>
      </w:r>
    </w:p>
    <w:p>
      <w:pPr>
        <w:pStyle w:val="FirstParagraph"/>
      </w:pPr>
      <w:r>
        <w:t xml:space="preserve">One rule governs the whole system:</w:t>
      </w:r>
    </w:p>
    <w:p>
      <w:pPr>
        <w:pStyle w:val="BlockText"/>
      </w:pPr>
      <w:r>
        <w:rPr>
          <w:bCs/>
          <w:b/>
        </w:rPr>
        <w:t xml:space="preserve">The language layer reads and writes. Deterministic code decides.</w:t>
      </w:r>
    </w:p>
    <w:p>
      <w:pPr>
        <w:pStyle w:val="FirstParagraph"/>
      </w:pPr>
      <w:r>
        <w:t xml:space="preserve">A language model is used where meaning is genuinely ambiguous and a human would</w:t>
      </w:r>
      <w:r>
        <w:t xml:space="preserve"> </w:t>
      </w:r>
      <w:r>
        <w:t xml:space="preserve">also have to read and interpret. Everywhere else the work is done by code that</w:t>
      </w:r>
      <w:r>
        <w:t xml:space="preserve"> </w:t>
      </w:r>
      <w:r>
        <w:t xml:space="preserve">returns the same answer every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Copilot Intake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Meaning. What the documents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Integrity. Whether the package holds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Arithmetic. What the facts add up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human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</w:t>
            </w:r>
          </w:p>
        </w:tc>
      </w:tr>
    </w:tbl>
    <w:bookmarkStart w:id="33" w:name="X4fcf4264283d4ceec58f20f00256a1a27bf6385"/>
    <w:p>
      <w:pPr>
        <w:pStyle w:val="Heading3"/>
      </w:pPr>
      <w:r>
        <w:t xml:space="preserve">Why the boundaries are enforced rather than trusted</w:t>
      </w:r>
    </w:p>
    <w:p>
      <w:pPr>
        <w:pStyle w:val="FirstParagraph"/>
      </w:pPr>
      <w:r>
        <w:t xml:space="preserve">The intake agent is forbidden from scoring, approving, or claiming that</w:t>
      </w:r>
      <w:r>
        <w:t xml:space="preserve"> </w:t>
      </w:r>
      <w:r>
        <w:t xml:space="preserve">validation has run. Four of the validator’s seventeen checks exist solely to</w:t>
      </w:r>
      <w:r>
        <w:t xml:space="preserve"> </w:t>
      </w:r>
      <w:r>
        <w:t xml:space="preserve">confirm those prohibitions held.</w:t>
      </w:r>
    </w:p>
    <w:p>
      <w:pPr>
        <w:pStyle w:val="BodyText"/>
      </w:pPr>
      <w:r>
        <w:t xml:space="preserve">This is the difference between an agent that is</w:t>
      </w:r>
      <w:r>
        <w:t xml:space="preserve"> </w:t>
      </w:r>
      <w:r>
        <w:rPr>
          <w:iCs/>
          <w:i/>
        </w:rPr>
        <w:t xml:space="preserve">told</w:t>
      </w:r>
      <w:r>
        <w:t xml:space="preserve"> </w:t>
      </w:r>
      <w:r>
        <w:t xml:space="preserve">not to conclude and one</w:t>
      </w:r>
      <w:r>
        <w:t xml:space="preserve"> </w:t>
      </w:r>
      <w:r>
        <w:t xml:space="preserve">whose compliance is</w:t>
      </w:r>
      <w:r>
        <w:t xml:space="preserve"> </w:t>
      </w:r>
      <w:r>
        <w:rPr>
          <w:iCs/>
          <w:i/>
        </w:rPr>
        <w:t xml:space="preserve">verified by a separate component</w:t>
      </w:r>
      <w:r>
        <w:t xml:space="preserve">. Only the second can be</w:t>
      </w:r>
      <w:r>
        <w:t xml:space="preserve"> </w:t>
      </w:r>
      <w:r>
        <w:t xml:space="preserve">relied on in an audit.</w:t>
      </w:r>
    </w:p>
    <w:bookmarkEnd w:id="33"/>
    <w:bookmarkStart w:id="34" w:name="X1caed851a7a18be17c90d4c7b231f38f68cd732"/>
    <w:p>
      <w:pPr>
        <w:pStyle w:val="Heading3"/>
      </w:pPr>
      <w:r>
        <w:t xml:space="preserve">Why three human gates, placed where they are</w:t>
      </w:r>
    </w:p>
    <w:p>
      <w:pPr>
        <w:pStyle w:val="FirstParagraph"/>
      </w:pPr>
      <w:r>
        <w:rPr>
          <w:bCs/>
          <w:b/>
        </w:rPr>
        <w:t xml:space="preserve">Gate 1 sits immediately after extraction</w:t>
      </w:r>
      <w:r>
        <w:t xml:space="preserve">, because extraction is the only</w:t>
      </w:r>
      <w:r>
        <w:t xml:space="preserve"> </w:t>
      </w:r>
      <w:r>
        <w:t xml:space="preserve">step that</w:t>
      </w:r>
      <w:r>
        <w:t xml:space="preserve"> </w:t>
      </w:r>
      <w:r>
        <w:rPr>
          <w:iCs/>
          <w:i/>
        </w:rPr>
        <w:t xml:space="preserve">creates</w:t>
      </w:r>
      <w:r>
        <w:t xml:space="preserve"> </w:t>
      </w:r>
      <w:r>
        <w:t xml:space="preserve">information. Everything downstream transforms what already</w:t>
      </w:r>
      <w:r>
        <w:t xml:space="preserve"> </w:t>
      </w:r>
      <w:r>
        <w:t xml:space="preserve">exists. A wrong fact caught here costs a correction; caught at the end it has</w:t>
      </w:r>
      <w:r>
        <w:t xml:space="preserve"> </w:t>
      </w:r>
      <w:r>
        <w:t xml:space="preserve">already produced a confident, well-cited, wrong memo. Reviewing extraction is</w:t>
      </w:r>
      <w:r>
        <w:t xml:space="preserve"> </w:t>
      </w:r>
      <w:r>
        <w:t xml:space="preserve">also an easier task — the analyst sees a fact, a confidence level and a source</w:t>
      </w:r>
      <w:r>
        <w:t xml:space="preserve"> </w:t>
      </w:r>
      <w:r>
        <w:t xml:space="preserve">cell, and answers one question.</w:t>
      </w:r>
    </w:p>
    <w:p>
      <w:pPr>
        <w:pStyle w:val="BodyText"/>
      </w:pPr>
      <w:r>
        <w:rPr>
          <w:bCs/>
          <w:b/>
        </w:rPr>
        <w:t xml:space="preserve">Gate 2 offers three remedies, not two.</w:t>
      </w:r>
      <w:r>
        <w:t xml:space="preserve"> </w:t>
      </w:r>
      <w:r>
        <w:t xml:space="preserve">Accept, override, and</w:t>
      </w:r>
      <w:r>
        <w:t xml:space="preserve"> </w:t>
      </w:r>
      <w:r>
        <w:rPr>
          <w:iCs/>
          <w:i/>
        </w:rPr>
        <w:t xml:space="preserve">remand</w:t>
      </w:r>
      <w:r>
        <w:t xml:space="preserve">. A</w:t>
      </w:r>
      <w:r>
        <w:t xml:space="preserve"> </w:t>
      </w:r>
      <w:r>
        <w:t xml:space="preserve">remand is for a wrong fact: that is a Gate 1 failure, and the fix is to correct</w:t>
      </w:r>
      <w:r>
        <w:t xml:space="preserve"> </w:t>
      </w:r>
      <w:r>
        <w:t xml:space="preserve">the extraction or mapping rule and re-score. A system with only an override</w:t>
      </w:r>
      <w:r>
        <w:t xml:space="preserve"> </w:t>
      </w:r>
      <w:r>
        <w:t xml:space="preserve">button teaches reviewers to override their way out of mapping defects, and the</w:t>
      </w:r>
      <w:r>
        <w:t xml:space="preserve"> </w:t>
      </w:r>
      <w:r>
        <w:t xml:space="preserve">recurring defect is never seen.</w:t>
      </w:r>
    </w:p>
    <w:p>
      <w:pPr>
        <w:pStyle w:val="BodyText"/>
      </w:pPr>
      <w:r>
        <w:rPr>
          <w:bCs/>
          <w:b/>
        </w:rPr>
        <w:t xml:space="preserve">An override supersedes; it never overwrites.</w:t>
      </w:r>
      <w:r>
        <w:t xml:space="preserve"> </w:t>
      </w:r>
      <w:r>
        <w:t xml:space="preserve">The machine output stays in the</w:t>
      </w:r>
      <w:r>
        <w:t xml:space="preserve"> </w:t>
      </w:r>
      <w:r>
        <w:t xml:space="preserve">record beside the human one, because an examiner needs both. This directly</w:t>
      </w:r>
      <w:r>
        <w:t xml:space="preserve"> </w:t>
      </w:r>
      <w:r>
        <w:t xml:space="preserve">answers the brief’s constraint that a human must be able to disagree, record</w:t>
      </w:r>
      <w:r>
        <w:t xml:space="preserve"> </w:t>
      </w:r>
      <w:r>
        <w:t xml:space="preserve">why, and have the consequence modelled.</w:t>
      </w:r>
    </w:p>
    <w:bookmarkEnd w:id="34"/>
    <w:bookmarkStart w:id="35" w:name="the-constraint-made-arithmetic"/>
    <w:p>
      <w:pPr>
        <w:pStyle w:val="Heading3"/>
      </w:pPr>
      <w:r>
        <w:t xml:space="preserve">The constraint made arithmetic</w:t>
      </w:r>
    </w:p>
    <w:p>
      <w:pPr>
        <w:pStyle w:val="FirstParagraph"/>
      </w:pPr>
      <w:r>
        <w:t xml:space="preserve">The brief states that controls mitigate risk but never eliminate it. In the</w:t>
      </w:r>
      <w:r>
        <w:t xml:space="preserve"> </w:t>
      </w:r>
      <w:r>
        <w:t xml:space="preserve">scoring model this is a floor, not a comment:</w:t>
      </w:r>
    </w:p>
    <w:p>
      <w:pPr>
        <w:pStyle w:val="SourceCode"/>
      </w:pPr>
      <w:r>
        <w:rPr>
          <w:rStyle w:val="VerbatimChar"/>
        </w:rPr>
        <w:t xml:space="preserve">residual = max(inherent × product(control multipliers), inherent × 0.20)</w:t>
      </w:r>
    </w:p>
    <w:p>
      <w:pPr>
        <w:pStyle w:val="FirstParagraph"/>
      </w:pPr>
      <w:r>
        <w:t xml:space="preserve">Four control domains at the strongest evidence tier give 0.65⁴ = 0.1785, which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0.20 floor. A respondent with a flawless control submission</w:t>
      </w:r>
      <w:r>
        <w:t xml:space="preserve"> </w:t>
      </w:r>
      <w:r>
        <w:t xml:space="preserve">still carries a fifth of its inherent risk. The floor binds on the best possible</w:t>
      </w:r>
      <w:r>
        <w:t xml:space="preserve"> </w:t>
      </w:r>
      <w:r>
        <w:t xml:space="preserve">case rather than being decorative — and there is a test asserting it.</w:t>
      </w:r>
    </w:p>
    <w:bookmarkEnd w:id="35"/>
    <w:bookmarkEnd w:id="36"/>
    <w:bookmarkStart w:id="37" w:name="how-the-solution-answers-each-criterion"/>
    <w:p>
      <w:pPr>
        <w:pStyle w:val="Heading2"/>
      </w:pPr>
      <w:r>
        <w:t xml:space="preserve">6. How the solution answers each criterion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How it is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harness and orchestration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Three-layer division with enforced boundaries. The agent interprets; deterministic code validates and scores. Structural parsing used where the document is structured; the model used only on 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SDLC automation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Specification-driven generation. Prompts committed beside the code they produced, with acceptance values making the output falsifiable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Human-in-the-loop and governance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gates, each justified by what the machine could plausibly get wrong at that point. No component can generate a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framework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automated tests across six files. Determinism over 500 runs, rounding, floor binding, partial-decision refusal. Mutation tests against the real source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engineering and requirement expansion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brief expanded to a specification with assumptions marked. Context scoped per model call rather than whole documents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readiness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dependencies, containerised handoffs, documented limitations. Deliberately proportionate at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efficiency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scoring path makes</w:t>
            </w:r>
            <w:r>
              <w:t xml:space="preserve"> </w:t>
            </w:r>
            <w:r>
              <w:rPr>
                <w:bCs/>
                <w:b/>
              </w:rPr>
              <w:t xml:space="preserve">zero model calls</w:t>
            </w:r>
            <w:r>
              <w:t xml:space="preserve">. Document parsing is structural, not model-driven, because CBDDQ question IDs are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judgement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and probabilistic work separated explicitly, with the reasoning recorded for each boundary</w:t>
            </w:r>
          </w:p>
        </w:tc>
      </w:tr>
    </w:tbl>
    <w:bookmarkEnd w:id="37"/>
    <w:bookmarkStart w:id="38" w:name="what-we-got-wrong-and-corrected"/>
    <w:p>
      <w:pPr>
        <w:pStyle w:val="Heading2"/>
      </w:pPr>
      <w:r>
        <w:t xml:space="preserve">7. What we got wrong, and corrected</w:t>
      </w:r>
    </w:p>
    <w:p>
      <w:pPr>
        <w:pStyle w:val="FirstParagraph"/>
      </w:pPr>
      <w:r>
        <w:t xml:space="preserve">Recorded because the brief asks the panel to probe decisions, and a team that</w:t>
      </w:r>
      <w:r>
        <w:t xml:space="preserve"> </w:t>
      </w:r>
      <w:r>
        <w:t xml:space="preserve">cannot name its own errors has not tested its work.</w:t>
      </w:r>
    </w:p>
    <w:p>
      <w:pPr>
        <w:pStyle w:val="BodyText"/>
      </w:pPr>
      <w:r>
        <w:rPr>
          <w:bCs/>
          <w:b/>
        </w:rPr>
        <w:t xml:space="preserve">The scope was wrong for several days.</w:t>
      </w:r>
      <w:r>
        <w:t xml:space="preserve"> </w:t>
      </w:r>
      <w:r>
        <w:t xml:space="preserve">Vendor onboarding was pursued before</w:t>
      </w:r>
      <w:r>
        <w:t xml:space="preserve"> </w:t>
      </w:r>
      <w:r>
        <w:t xml:space="preserve">the client confirmed the relationship was correspondent banking. The cost was</w:t>
      </w:r>
      <w:r>
        <w:t xml:space="preserve"> </w:t>
      </w:r>
      <w:r>
        <w:t xml:space="preserve">real, and the lesson is reusable: select sources by the decision the system</w:t>
      </w:r>
      <w:r>
        <w:t xml:space="preserve"> </w:t>
      </w:r>
      <w:r>
        <w:t xml:space="preserve">makes, not by the domain label.</w:t>
      </w:r>
    </w:p>
    <w:p>
      <w:pPr>
        <w:pStyle w:val="BodyText"/>
      </w:pPr>
      <w:r>
        <w:rPr>
          <w:bCs/>
          <w:b/>
        </w:rPr>
        <w:t xml:space="preserve">A citation was wrong.</w:t>
      </w:r>
      <w:r>
        <w:t xml:space="preserve"> </w:t>
      </w:r>
      <w:r>
        <w:t xml:space="preserve">FATF Recommendation 1 was cited for the risk-based</w:t>
      </w:r>
      <w:r>
        <w:t xml:space="preserve"> </w:t>
      </w:r>
      <w:r>
        <w:t xml:space="preserve">approach. In the 2003 edition that is Recommendation 1 on criminalising money</w:t>
      </w:r>
      <w:r>
        <w:t xml:space="preserve"> </w:t>
      </w:r>
      <w:r>
        <w:t xml:space="preserve">laundering; the risk-based approach is Recommendation 1 in the</w:t>
      </w:r>
      <w:r>
        <w:t xml:space="preserve"> </w:t>
      </w:r>
      <w:r>
        <w:rPr>
          <w:bCs/>
          <w:b/>
        </w:rPr>
        <w:t xml:space="preserve">2012</w:t>
      </w:r>
      <w:r>
        <w:t xml:space="preserve"> </w:t>
      </w:r>
      <w:r>
        <w:t xml:space="preserve">revision. The lesson is to verify the edition, not only the number.</w:t>
      </w:r>
    </w:p>
    <w:p>
      <w:pPr>
        <w:pStyle w:val="BodyText"/>
      </w:pPr>
      <w:r>
        <w:rPr>
          <w:bCs/>
          <w:b/>
        </w:rPr>
        <w:t xml:space="preserve">A mapping gap was closed by bypassing an authority.</w:t>
      </w:r>
      <w:r>
        <w:t xml:space="preserve"> </w:t>
      </w:r>
      <w:r>
        <w:t xml:space="preserve">Exception EXC-0001</w:t>
      </w:r>
      <w:r>
        <w:t xml:space="preserve"> </w:t>
      </w:r>
      <w:r>
        <w:t xml:space="preserve">reported that field identifiers did not match the approved mapping catalogue.</w:t>
      </w:r>
      <w:r>
        <w:t xml:space="preserve"> </w:t>
      </w:r>
      <w:r>
        <w:t xml:space="preserve">A local rules file was written against the source register, which closed the</w:t>
      </w:r>
      <w:r>
        <w:t xml:space="preserve"> </w:t>
      </w:r>
      <w:r>
        <w:t xml:space="preserve">blocker — but the approved catalogue is owned by the Risk Model Owner, it</w:t>
      </w:r>
      <w:r>
        <w:t xml:space="preserve"> </w:t>
      </w:r>
      <w:r>
        <w:t xml:space="preserve">deliberately stops at candidate indicators rather than anchors, and it covers</w:t>
      </w:r>
      <w:r>
        <w:t xml:space="preserve"> </w:t>
      </w:r>
      <w:r>
        <w:t xml:space="preserve">only three of ten model areas.</w:t>
      </w:r>
    </w:p>
    <w:p>
      <w:pPr>
        <w:pStyle w:val="BodyText"/>
      </w:pPr>
      <w:r>
        <w:rPr>
          <w:bCs/>
          <w:b/>
        </w:rPr>
        <w:t xml:space="preserve">The original refusal was correct.</w:t>
      </w:r>
      <w:r>
        <w:t xml:space="preserve"> </w:t>
      </w:r>
      <w:r>
        <w:t xml:space="preserve">The system reporting</w:t>
      </w:r>
      <w:r>
        <w:t xml:space="preserve"> </w:t>
      </w:r>
      <w:r>
        <w:rPr>
          <w:rStyle w:val="VerbatimChar"/>
        </w:rPr>
        <w:t xml:space="preserve">candidate_indicator_count: 0</w:t>
      </w:r>
      <w:r>
        <w:t xml:space="preserve"> </w:t>
      </w:r>
      <w:r>
        <w:t xml:space="preserve">and refusing on</w:t>
      </w:r>
      <w:r>
        <w:t xml:space="preserve"> </w:t>
      </w:r>
      <w:r>
        <w:rPr>
          <w:rStyle w:val="VerbatimChar"/>
        </w:rPr>
        <w:t xml:space="preserve">NO_FACTOR_ANCHORS</w:t>
      </w:r>
      <w:r>
        <w:t xml:space="preserve"> </w:t>
      </w:r>
      <w:r>
        <w:t xml:space="preserve">was the</w:t>
      </w:r>
      <w:r>
        <w:t xml:space="preserve"> </w:t>
      </w:r>
      <w:r>
        <w:t xml:space="preserve">accurate state under the registered configuration, not a defect. That local</w:t>
      </w:r>
      <w:r>
        <w:t xml:space="preserve"> </w:t>
      </w:r>
      <w:r>
        <w:t xml:space="preserve">rules file has been quarantined, and the gap is recorded as open.</w:t>
      </w:r>
    </w:p>
    <w:p>
      <w:pPr>
        <w:pStyle w:val="BodyText"/>
      </w:pPr>
      <w:r>
        <w:rPr>
          <w:bCs/>
          <w:b/>
        </w:rPr>
        <w:t xml:space="preserve">A test failed and the test was wrong.</w:t>
      </w:r>
      <w:r>
        <w:t xml:space="preserve"> </w:t>
      </w:r>
      <w:r>
        <w:t xml:space="preserve">An override-report expectation</w:t>
      </w:r>
      <w:r>
        <w:t xml:space="preserve"> </w:t>
      </w:r>
      <w:r>
        <w:t xml:space="preserve">asserted that a factor overridden once in five cases should be flagged. The</w:t>
      </w:r>
      <w:r>
        <w:t xml:space="preserve"> </w:t>
      </w:r>
      <w:r>
        <w:t xml:space="preserve">threshold is a quarter; the code was right. The test expectation was corrected</w:t>
      </w:r>
      <w:r>
        <w:t xml:space="preserve"> </w:t>
      </w:r>
      <w:r>
        <w:t xml:space="preserve">rather than the threshold loosened — which is the rule working, in the</w:t>
      </w:r>
      <w:r>
        <w:t xml:space="preserve"> </w:t>
      </w:r>
      <w:r>
        <w:t xml:space="preserve">direction people usually get backwards.</w:t>
      </w:r>
    </w:p>
    <w:bookmarkEnd w:id="38"/>
    <w:bookmarkStart w:id="39" w:name="known-limitations"/>
    <w:p>
      <w:pPr>
        <w:pStyle w:val="Heading2"/>
      </w:pPr>
      <w:r>
        <w:t xml:space="preserve">8. Known limitations</w:t>
      </w:r>
    </w:p>
    <w:p>
      <w:pPr>
        <w:pStyle w:val="FirstParagraph"/>
      </w:pPr>
      <w:r>
        <w:t xml:space="preserve">The prototype uses synthetic or sanitised data throughout. Packet-based</w:t>
      </w:r>
      <w:r>
        <w:t xml:space="preserve"> </w:t>
      </w:r>
      <w:r>
        <w:t xml:space="preserve">handoffs replace system integration.</w:t>
      </w:r>
    </w:p>
    <w:p>
      <w:pPr>
        <w:pStyle w:val="BodyText"/>
      </w:pPr>
      <w:r>
        <w:rPr>
          <w:bCs/>
          <w:b/>
        </w:rPr>
        <w:t xml:space="preserve">Source instruments do not establish sanctioned-jurisdiction presence.</w:t>
      </w:r>
      <w:r>
        <w:t xml:space="preserve"> </w:t>
      </w:r>
      <w:r>
        <w:t xml:space="preserve">Neither form asks whether the respondent has physical presence in a</w:t>
      </w:r>
      <w:r>
        <w:t xml:space="preserve"> </w:t>
      </w:r>
      <w:r>
        <w:t xml:space="preserve">comprehensively sanctioned jurisdiction. Every case stalls at that</w:t>
      </w:r>
      <w:r>
        <w:t xml:space="preserve"> </w:t>
      </w:r>
      <w:r>
        <w:t xml:space="preserve">determination until a field is added or an authorised source resolves it. This</w:t>
      </w:r>
      <w:r>
        <w:t xml:space="preserve"> </w:t>
      </w:r>
      <w:r>
        <w:t xml:space="preserve">is an instrument gap, not a defect.</w:t>
      </w:r>
    </w:p>
    <w:p>
      <w:pPr>
        <w:pStyle w:val="BodyText"/>
      </w:pPr>
      <w:r>
        <w:rPr>
          <w:bCs/>
          <w:b/>
        </w:rPr>
        <w:t xml:space="preserve">The approved mapping catalogue does not cover the model.</w:t>
      </w:r>
      <w:r>
        <w:t xml:space="preserve"> </w:t>
      </w:r>
      <w:r>
        <w:t xml:space="preserve">Six rules across</w:t>
      </w:r>
      <w:r>
        <w:t xml:space="preserve"> </w:t>
      </w:r>
      <w:r>
        <w:t xml:space="preserve">three model areas; seven of ten have no approved mapping. Under the registered</w:t>
      </w:r>
      <w:r>
        <w:t xml:space="preserve"> </w:t>
      </w:r>
      <w:r>
        <w:t xml:space="preserve">configuration a case cannot be scored, and the engine correctly refuses.</w:t>
      </w:r>
    </w:p>
    <w:p>
      <w:pPr>
        <w:pStyle w:val="BodyText"/>
      </w:pPr>
      <w:r>
        <w:rPr>
          <w:bCs/>
          <w:b/>
        </w:rPr>
        <w:t xml:space="preserve">Gate decisions are not versioned.</w:t>
      </w:r>
      <w:r>
        <w:t xml:space="preserve"> </w:t>
      </w:r>
      <w:r>
        <w:t xml:space="preserve">A corrected Gate 1 decision overwrites</w:t>
      </w:r>
      <w:r>
        <w:t xml:space="preserve"> </w:t>
      </w:r>
      <w:r>
        <w:t xml:space="preserve">the earlier one. Gate 2 overrides supersede rather than overwrite; Gate 1</w:t>
      </w:r>
      <w:r>
        <w:t xml:space="preserve"> </w:t>
      </w:r>
      <w:r>
        <w:t xml:space="preserve">should match.</w:t>
      </w:r>
    </w:p>
    <w:p>
      <w:pPr>
        <w:pStyle w:val="BodyText"/>
      </w:pPr>
      <w:r>
        <w:rPr>
          <w:bCs/>
          <w:b/>
        </w:rPr>
        <w:t xml:space="preserve">No four-eyes rule.</w:t>
      </w:r>
      <w:r>
        <w:t xml:space="preserve"> </w:t>
      </w:r>
      <w:r>
        <w:t xml:space="preserve">One named reviewer can resolve every item and approve.</w:t>
      </w:r>
    </w:p>
    <w:p>
      <w:pPr>
        <w:pStyle w:val="BodyText"/>
      </w:pPr>
      <w:r>
        <w:rPr>
          <w:bCs/>
          <w:b/>
        </w:rPr>
        <w:t xml:space="preserve">Production controls are not claimed.</w:t>
      </w:r>
      <w:r>
        <w:t xml:space="preserve"> </w:t>
      </w:r>
      <w:r>
        <w:t xml:space="preserve">Access control, encryption at rest,</w:t>
      </w:r>
      <w:r>
        <w:t xml:space="preserve"> </w:t>
      </w:r>
      <w:r>
        <w:t xml:space="preserve">retention scheduling, read-audit logging and immutable external retention are</w:t>
      </w:r>
      <w:r>
        <w:t xml:space="preserve"> </w:t>
      </w:r>
      <w:r>
        <w:t xml:space="preserve">absent by design, not oversight.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Correspondent Gate is not an AI that decides whether to approve a bank.</w:t>
      </w:r>
      <w:r>
        <w:t xml:space="preserve"> </w:t>
      </w:r>
      <w:r>
        <w:t xml:space="preserve">It</w:t>
      </w:r>
      <w:r>
        <w:t xml:space="preserve"> </w:t>
      </w:r>
      <w:r>
        <w:t xml:space="preserve">is a controlled pipeline that makes source evidence, deterministic calculation,</w:t>
      </w:r>
      <w:r>
        <w:t xml:space="preserve"> </w:t>
      </w:r>
      <w:r>
        <w:t xml:space="preserve">human judgement, and unresolved limitations visible at the correct stage.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72B4D"/>
      <w:sz w:val="21"/>
      <w:szCs w:val="21"/>
    </w:rPr>
  </w:style>
  <w:style w:styleId="BodyText" w:type="paragraph">
    <w:name w:val="Body Text"/>
    <w:basedOn w:val="Normal"/>
    <w:link w:val="BodyTextChar"/>
    <w:pPr>
      <w:spacing w:after="140" w:before="0"/>
    </w:pPr>
    <w:qFormat/>
    <w:rPr>
      <w:rFonts w:ascii="Calibri" w:cs="Calibri" w:hAnsi="Calibri"/>
      <w:color w:val="172B4D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cs="Calibri" w:hAnsi="Calibri"/>
      <w:color w:val="172B4D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jc w:val="center"/>
      <w:spacing w:after="120" w:before="0"/>
    </w:pPr>
    <w:rPr>
      <w:rFonts w:ascii="Calibri Light" w:cs="Calibri Light" w:hAnsi="Calibri Light"/>
      <w:b/>
      <w:bCs/>
      <w:color w:val="1F3864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jc w:val="center"/>
      <w:spacing w:after="480" w:before="0"/>
    </w:pPr>
    <w:rPr>
      <w:rFonts w:ascii="Calibri" w:cs="Calibri" w:hAnsi="Calibri"/>
      <w:color w:val="595959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  <w:spacing w:after="160" w:before="400"/>
      <w:pBdr>
        <w:bottom w:color="C8D0DC" w:space="4" w:sz="4" w:val="single"/>
      </w:pBdr>
    </w:pPr>
    <w:rPr>
      <w:rFonts w:ascii="Calibri Light" w:cs="Calibri Light" w:hAnsi="Calibri Light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  <w:spacing w:after="120" w:before="320"/>
    </w:pPr>
    <w:rPr>
      <w:rFonts w:ascii="Calibri Light" w:cs="Calibri Light" w:hAnsi="Calibri Light"/>
      <w:b/>
      <w:bCs/>
      <w:color w:val="005A78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  <w:spacing w:after="100" w:before="240"/>
    </w:pPr>
    <w:rPr>
      <w:rFonts w:ascii="Calibri" w:cs="Calibri" w:hAnsi="Calibri"/>
      <w:b/>
      <w:bCs/>
      <w:color w:val="172B4D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  <w:spacing w:after="80" w:before="200"/>
    </w:pPr>
    <w:rPr>
      <w:rFonts w:ascii="Calibri" w:cs="Calibri" w:hAnsi="Calibri"/>
      <w:b/>
      <w:bCs/>
      <w:color w:val="595959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/>
    </w:pPr>
    <w:rPr>
      <w:rFonts w:ascii="Calibri" w:hAnsi="Calibri"/>
      <w:sz w:val="19"/>
      <w:szCs w:val="19"/>
    </w:rPr>
    <w:tblPr>
      <w:tblBorders>
        <w:top w:color="BFBFBF" w:space="0" w:sz="4" w:val="single"/>
        <w:left w:color="auto" w:space="0" w:sz="0" w:val="none"/>
        <w:bottom w:color="BFBFBF" w:space="0" w:sz="4" w:val="single"/>
        <w:right w:color="auto" w:space="0" w:sz="0" w:val="none"/>
        <w:insideH w:color="D9D9D9" w:space="0" w:sz="4" w:val="single"/>
        <w:insideV w:color="auto" w:space="0" w:sz="0" w:val="none"/>
      </w:tblBorders>
      <w:tblCellMar>
        <w:top w:type="dxa" w:w="60"/>
        <w:left w:type="dxa" w:w="100"/>
        <w:bottom w:type="dxa" w:w="60"/>
        <w:right w:type="dxa" w:w="10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0B5394"/>
      <w:sz w:val="17"/>
      <w:szCs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Correspondent Gate</dc:title>
  <dc:creator>Genius Hacks Q3 2026 · Risk Assessment Workbench</dc:creator>
  <cp:keywords/>
  <dcterms:created xsi:type="dcterms:W3CDTF">2026-10-26T16:26:12Z</dcterms:created>
  <dcterms:modified xsi:type="dcterms:W3CDTF">2026-10-26T16:26:12Z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October 2026</vt:lpwstr>
  </property>
  <property fmtid="{D5CDD505-2E9C-101B-9397-08002B2CF9AE}" pid="3" name="subtitle">
    <vt:lpwstr>Executive Summary — How the Solution Was Derived</vt:lpwstr>
  </property>
</Properties>
</file>