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Correspondent Gate Hackathon</w:t>
      </w:r>
    </w:p>
    <w:p>
      <w:pPr>
        <w:pStyle w:val="Subtitle"/>
        <w:jc w:val="center"/>
      </w:pPr>
      <w:r>
        <w:t>Executive Summary: Test Evaluation</w:t>
      </w:r>
    </w:p>
    <w:p>
      <w:pPr>
        <w:jc w:val="center"/>
      </w:pPr>
      <w:r>
        <w:rPr>
          <w:b/>
          <w:color w:val="464646"/>
        </w:rPr>
        <w:t>For Hackathon Panelists | 26 October 2026</w:t>
      </w:r>
    </w:p>
    <w:p>
      <w:pPr>
        <w:jc w:val="center"/>
      </w:pPr>
      <w:r>
        <w:rPr>
          <w:b/>
          <w:color w:val="AA372D"/>
          <w:sz w:val="16"/>
        </w:rPr>
        <w:t>SYNTHETIC QA EVIDENCE ONLY - NOT FOR OPERATIONAL RISK DECISIONS</w:t>
      </w:r>
    </w:p>
    <w:tbl>
      <w:tblPr>
        <w:tblW w:type="auto" w:w="0"/>
        <w:jc w:val="center"/>
        <w:tblLayout w:type="fixed"/>
        <w:tblLook w:firstColumn="1" w:firstRow="1" w:lastColumn="0" w:lastRow="0" w:noHBand="0" w:noVBand="1" w:val="04A0"/>
      </w:tblPr>
      <w:tblGrid>
        <w:gridCol w:w="9648"/>
      </w:tblGrid>
      <w:tr>
        <w:tc>
          <w:tcPr>
            <w:tcW w:type="dxa" w:w="10080"/>
            <w:vAlign w:val="center"/>
            <w:shd w:fill="EAF2F8"/>
          </w:tcPr>
          <w:p>
            <w:pPr>
              <w:spacing w:after="0"/>
            </w:pPr>
            <w:r>
              <w:rPr>
                <w:b/>
                <w:color w:val="103B66"/>
              </w:rPr>
              <w:t>PANELIST TAKEAWAY</w:t>
              <w:br/>
            </w:r>
            <w:r>
              <w:rPr>
                <w:sz w:val="20"/>
              </w:rPr>
              <w:t>Correspondent Gate demonstrated a governed workflow, not merely a scoring demo. It failed closed on incomplete states, exposed root causes, accepted controlled corrections, and completed an authorized, deterministic High-band run through Gate 3 memo admission while preserving the human committee decision.</w:t>
            </w:r>
          </w:p>
        </w:tc>
      </w:tr>
    </w:tbl>
    <w:p>
      <w:pPr>
        <w:pStyle w:val="Heading1"/>
      </w:pPr>
      <w:r>
        <w:t>What was tested</w:t>
      </w:r>
    </w:p>
    <w:p>
      <w:r>
        <w:t>The evaluation exercised the integrated path from CBDDQ intake and relationship scoping through deterministic validation, Gate 1 review, scoring authorization, Gate 2 review, and Gate 3 memo admission. Coverage included positive, negative, contract, integration, recovery, traceability, audit, and human-in-the-loop controls across Excel, Markdown/JSON, PowerShell, Node.js, and HTML.</w:t>
      </w:r>
    </w:p>
    <w:p>
      <w:pPr>
        <w:pStyle w:val="ListBullet"/>
      </w:pPr>
      <w:r>
        <w:t>AI-assisted components interpret evidence and draft review material.</w:t>
      </w:r>
    </w:p>
    <w:p>
      <w:pPr>
        <w:pStyle w:val="ListBullet"/>
      </w:pPr>
      <w:r>
        <w:t>Deterministic code validates contracts, applies controlled rules, calculates risk, and records traceability.</w:t>
      </w:r>
    </w:p>
    <w:p>
      <w:pPr>
        <w:pStyle w:val="ListBullet"/>
      </w:pPr>
      <w:r>
        <w:t>Authorized humans resolve exclusions and retain decision authority at the gates.</w:t>
      </w:r>
    </w:p>
    <w:p>
      <w:pPr>
        <w:pStyle w:val="Heading1"/>
      </w:pPr>
      <w:r>
        <w:t>Evidence progression</w:t>
      </w:r>
    </w:p>
    <w:p>
      <w:r>
        <w:t>The records capture two phases rather than a contradiction. Earlier testing correctly reported the High-band path as blocked because candidate coverage, F5 mapping, Gate 1 synchronization, evidence states, and parser contracts were incomplete. The controls refused to manufacture success.</w:t>
      </w:r>
    </w:p>
    <w:p>
      <w:r>
        <w:t>The later case-specific regression corrected the collection contract, aligned Gate 1 JSON to the runtime resolver, resolved two hard exclusions with named attribution and determination sources, cleared admission blockers, and completed the workflow. This is strong evidence of failure, diagnosis, correction, and recovery.</w:t>
      </w:r>
    </w:p>
    <w:p>
      <w:pPr>
        <w:pStyle w:val="Heading1"/>
      </w:pPr>
      <w:r>
        <w:t>Final observed result</w:t>
      </w:r>
    </w:p>
    <w:tbl>
      <w:tblPr>
        <w:tblStyle w:val="LightShading-Accent1"/>
        <w:tblW w:type="auto" w:w="0"/>
        <w:jc w:val="center"/>
        <w:tblLook w:firstColumn="1" w:firstRow="1" w:lastColumn="0" w:lastRow="0" w:noHBand="0" w:noVBand="1" w:val="04A0"/>
      </w:tblPr>
      <w:tblGrid>
        <w:gridCol w:w="5040"/>
        <w:gridCol w:w="5040"/>
      </w:tblGrid>
      <w:tr>
        <w:tc>
          <w:tcPr>
            <w:tcW w:type="dxa" w:w="3528"/>
          </w:tcPr>
          <w:p>
            <w:r>
              <w:t>Control point</w:t>
            </w:r>
          </w:p>
        </w:tc>
        <w:tc>
          <w:tcPr>
            <w:tcW w:type="dxa" w:w="5760"/>
          </w:tcPr>
          <w:p>
            <w:r>
              <w:t>Final state</w:t>
            </w:r>
          </w:p>
        </w:tc>
      </w:tr>
      <w:tr>
        <w:tc>
          <w:tcPr>
            <w:tcW w:type="dxa" w:w="3528"/>
          </w:tcPr>
          <w:p>
            <w:r>
              <w:t>Package validation</w:t>
            </w:r>
          </w:p>
        </w:tc>
        <w:tc>
          <w:tcPr>
            <w:tcW w:type="dxa" w:w="5760"/>
          </w:tcPr>
          <w:p>
            <w:r>
              <w:t>PASS</w:t>
            </w:r>
          </w:p>
        </w:tc>
      </w:tr>
      <w:tr>
        <w:tc>
          <w:tcPr>
            <w:tcW w:type="dxa" w:w="3528"/>
          </w:tcPr>
          <w:p>
            <w:r>
              <w:t>Gate 1 / readiness</w:t>
            </w:r>
          </w:p>
        </w:tc>
        <w:tc>
          <w:tcPr>
            <w:tcW w:type="dxa" w:w="5760"/>
          </w:tcPr>
          <w:p>
            <w:r>
              <w:t>ALLOWED / READY</w:t>
            </w:r>
          </w:p>
        </w:tc>
      </w:tr>
      <w:tr>
        <w:tc>
          <w:tcPr>
            <w:tcW w:type="dxa" w:w="3528"/>
          </w:tcPr>
          <w:p>
            <w:r>
              <w:t>Scoring</w:t>
            </w:r>
          </w:p>
        </w:tc>
        <w:tc>
          <w:tcPr>
            <w:tcW w:type="dxa" w:w="5760"/>
          </w:tcPr>
          <w:p>
            <w:r>
              <w:t>AUTHORISED / OFFICIAL</w:t>
            </w:r>
          </w:p>
        </w:tc>
      </w:tr>
      <w:tr>
        <w:tc>
          <w:tcPr>
            <w:tcW w:type="dxa" w:w="3528"/>
          </w:tcPr>
          <w:p>
            <w:r>
              <w:t>Open blockers</w:t>
            </w:r>
          </w:p>
        </w:tc>
        <w:tc>
          <w:tcPr>
            <w:tcW w:type="dxa" w:w="5760"/>
          </w:tcPr>
          <w:p>
            <w:r>
              <w:t>None</w:t>
            </w:r>
          </w:p>
        </w:tc>
      </w:tr>
      <w:tr>
        <w:tc>
          <w:tcPr>
            <w:tcW w:type="dxa" w:w="3528"/>
          </w:tcPr>
          <w:p>
            <w:r>
              <w:t>Inherent score</w:t>
            </w:r>
          </w:p>
        </w:tc>
        <w:tc>
          <w:tcPr>
            <w:tcW w:type="dxa" w:w="5760"/>
          </w:tcPr>
          <w:p>
            <w:r>
              <w:t>64.00</w:t>
            </w:r>
          </w:p>
        </w:tc>
      </w:tr>
      <w:tr>
        <w:tc>
          <w:tcPr>
            <w:tcW w:type="dxa" w:w="3528"/>
          </w:tcPr>
          <w:p>
            <w:r>
              <w:t>Control multiplier</w:t>
            </w:r>
          </w:p>
        </w:tc>
        <w:tc>
          <w:tcPr>
            <w:tcW w:type="dxa" w:w="5760"/>
          </w:tcPr>
          <w:p>
            <w:r>
              <w:t>0.7807</w:t>
            </w:r>
          </w:p>
        </w:tc>
      </w:tr>
      <w:tr>
        <w:tc>
          <w:tcPr>
            <w:tcW w:type="dxa" w:w="3528"/>
          </w:tcPr>
          <w:p>
            <w:r>
              <w:t>Residual / band</w:t>
            </w:r>
          </w:p>
        </w:tc>
        <w:tc>
          <w:tcPr>
            <w:tcW w:type="dxa" w:w="5760"/>
          </w:tcPr>
          <w:p>
            <w:r>
              <w:t>49.97 / High</w:t>
            </w:r>
          </w:p>
        </w:tc>
      </w:tr>
      <w:tr>
        <w:tc>
          <w:tcPr>
            <w:tcW w:type="dxa" w:w="3528"/>
          </w:tcPr>
          <w:p>
            <w:r>
              <w:t>Required approval</w:t>
            </w:r>
          </w:p>
        </w:tc>
        <w:tc>
          <w:tcPr>
            <w:tcW w:type="dxa" w:w="5760"/>
          </w:tcPr>
          <w:p>
            <w:r>
              <w:t>Committee at Gate 3</w:t>
            </w:r>
          </w:p>
        </w:tc>
      </w:tr>
      <w:tr>
        <w:tc>
          <w:tcPr>
            <w:tcW w:type="dxa" w:w="3528"/>
          </w:tcPr>
          <w:p>
            <w:r>
              <w:t>Gate 2</w:t>
            </w:r>
          </w:p>
        </w:tc>
        <w:tc>
          <w:tcPr>
            <w:tcW w:type="dxa" w:w="5760"/>
          </w:tcPr>
          <w:p>
            <w:r>
              <w:t>APPROVE_FOR_GATE_3</w:t>
            </w:r>
          </w:p>
        </w:tc>
      </w:tr>
      <w:tr>
        <w:tc>
          <w:tcPr>
            <w:tcW w:type="dxa" w:w="3528"/>
          </w:tcPr>
          <w:p>
            <w:r>
              <w:t>Gate 3 admission</w:t>
            </w:r>
          </w:p>
        </w:tc>
        <w:tc>
          <w:tcPr>
            <w:tcW w:type="dxa" w:w="5760"/>
          </w:tcPr>
          <w:p>
            <w:r>
              <w:t>ADMITTED FOR MEMO DRAFTING</w:t>
            </w:r>
          </w:p>
        </w:tc>
      </w:tr>
      <w:tr>
        <w:tc>
          <w:tcPr>
            <w:tcW w:type="dxa" w:w="3528"/>
          </w:tcPr>
          <w:p>
            <w:r>
              <w:t>Gate 3 decision</w:t>
            </w:r>
          </w:p>
        </w:tc>
        <w:tc>
          <w:tcPr>
            <w:tcW w:type="dxa" w:w="5760"/>
          </w:tcPr>
          <w:p>
            <w:r>
              <w:t>Blank, pending human action</w:t>
            </w:r>
          </w:p>
        </w:tc>
      </w:tr>
    </w:tbl>
    <w:p>
      <w:r>
        <w:rPr>
          <w:b/>
        </w:rPr>
        <w:t xml:space="preserve">Reproducibility: </w:t>
      </w:r>
      <w:r>
        <w:t>factor contributions totaled 64.00; four 0.94 multipliers combined to approximately 0.7807; residual risk was 49.97; the floor was not applied.</w:t>
      </w:r>
    </w:p>
    <w:p>
      <w:pPr>
        <w:pStyle w:val="Heading1"/>
      </w:pPr>
      <w:r>
        <w:t>Defects that strengthened the solution</w:t>
      </w:r>
    </w:p>
    <w:p>
      <w:pPr>
        <w:pStyle w:val="ListBullet"/>
      </w:pPr>
      <w:r>
        <w:t>PowerShell-to-Node.js collection mismatch: a wrapper object was consumed as an array. The extractor now normalizes and validates the collection.</w:t>
      </w:r>
    </w:p>
    <w:p>
      <w:pPr>
        <w:pStyle w:val="ListBullet"/>
      </w:pPr>
      <w:r>
        <w:t>Gate 1 resolver mismatch: syntactically valid JSON used the wrong path and field names. The payload was aligned to the actual runtime contract.</w:t>
      </w:r>
    </w:p>
    <w:p>
      <w:pPr>
        <w:pStyle w:val="ListBullet"/>
      </w:pPr>
      <w:r>
        <w:t>Unresolved exclusions: two UNKNOWN candidates correctly blocked authorization until valid human resolutions and sources were supplied.</w:t>
      </w:r>
    </w:p>
    <w:p>
      <w:pPr>
        <w:pStyle w:val="ListBullet"/>
      </w:pPr>
      <w:r>
        <w:t>Misleading success signal: generic “decision applied” output was replaced by evidence of each applied resolution and observable state transition.</w:t>
      </w:r>
    </w:p>
    <w:p>
      <w:pPr>
        <w:pStyle w:val="Heading1"/>
      </w:pPr>
      <w:r>
        <w:t>Why the result matters</w:t>
      </w:r>
    </w:p>
    <w:p>
      <w:pPr>
        <w:pStyle w:val="ListBullet"/>
      </w:pPr>
      <w:r>
        <w:t>Incomplete and inconsistent evidence did not progress.</w:t>
      </w:r>
    </w:p>
    <w:p>
      <w:pPr>
        <w:pStyle w:val="ListBullet"/>
      </w:pPr>
      <w:r>
        <w:t>Scoring remained unauthorized while blockers existed.</w:t>
      </w:r>
    </w:p>
    <w:p>
      <w:pPr>
        <w:pStyle w:val="ListBullet"/>
      </w:pPr>
      <w:r>
        <w:t>Deterministic results stayed traceable to source references.</w:t>
      </w:r>
    </w:p>
    <w:p>
      <w:pPr>
        <w:pStyle w:val="ListBullet"/>
      </w:pPr>
      <w:r>
        <w:t>A High-band case routed to committee review.</w:t>
      </w:r>
    </w:p>
    <w:p>
      <w:pPr>
        <w:pStyle w:val="ListBullet"/>
      </w:pPr>
      <w:r>
        <w:t>Gate 3 did not automate, prepopulate, save, or submit a committee decision.</w:t>
      </w:r>
    </w:p>
    <w:p>
      <w:r>
        <w:rPr>
          <w:b/>
        </w:rPr>
        <w:t xml:space="preserve">Governance principle: </w:t>
      </w:r>
      <w:r>
        <w:t>AI interprets and drafts; deterministic code validates and calculates; authorized humans approve and decide.</w:t>
      </w:r>
    </w:p>
    <w:p>
      <w:pPr>
        <w:pStyle w:val="Heading1"/>
      </w:pPr>
      <w:r>
        <w:t>Limitations and next priorities</w:t>
      </w:r>
    </w:p>
    <w:p>
      <w:r>
        <w:t>This is synthetic QA evidence, not proof of operational evidence authenticity, legal sufficiency, or production readiness. Cross-browser execution was not fully evidenced, and historical generation-time provenance remains visible in the official output.</w:t>
      </w:r>
    </w:p>
    <w:p>
      <w:pPr>
        <w:pStyle w:val="ListNumber"/>
      </w:pPr>
      <w:r>
        <w:t>Add JSON Schema validation and a shared PowerShell/Node.js contract package.</w:t>
      </w:r>
    </w:p>
    <w:p>
      <w:pPr>
        <w:pStyle w:val="ListNumber"/>
      </w:pPr>
      <w:r>
        <w:t>Compile runtime mappings from one governed catalogue and record configuration versions clearly.</w:t>
      </w:r>
    </w:p>
    <w:p>
      <w:pPr>
        <w:pStyle w:val="ListNumber"/>
      </w:pPr>
      <w:r>
        <w:t>Expand regression tests for empty, single, multiple, duplicate, unmatched, and unresolved candidates.</w:t>
      </w:r>
    </w:p>
    <w:p>
      <w:pPr>
        <w:pStyle w:val="ListNumber"/>
      </w:pPr>
      <w:r>
        <w:t>Add Playwright coverage for Gate 3 validation and no-side-effect behavior.</w:t>
      </w:r>
    </w:p>
    <w:p>
      <w:pPr>
        <w:pStyle w:val="ListNumber"/>
      </w:pPr>
      <w:r>
        <w:t>Provide one preflight command for extraction through scoring, Gate 2 reconciliation, and audit capture.</w:t>
      </w:r>
    </w:p>
    <w:p>
      <w:pPr>
        <w:pStyle w:val="Heading1"/>
      </w:pPr>
      <w:r>
        <w:t>Panel recommendation</w:t>
      </w:r>
    </w:p>
    <w:p>
      <w:r>
        <w:rPr>
          <w:b/>
          <w:color w:val="106441"/>
        </w:rPr>
        <w:t xml:space="preserve">PASS for hackathon demonstration, with controlled limitations. </w:t>
      </w:r>
      <w:r>
        <w:t>The differentiator is not the High score. It is the demonstrated ability to reject invalid states, expose integration defects, preserve traceability, recover through controlled correction, and stop before an unauthorized human decision is claimed.</w:t>
      </w:r>
    </w:p>
    <w:p>
      <w:r>
        <w:t>Recommended next phase: production hardening focused on schema governance, shared contracts, automated regression and browser testing, controlled configuration promotion, and complete closure/tamper-evidence execution.</w:t>
      </w:r>
    </w:p>
    <w:p>
      <w:pPr>
        <w:pStyle w:val="Heading1"/>
      </w:pPr>
      <w:r>
        <w:t>Source basis and precedence</w:t>
      </w:r>
    </w:p>
    <w:p>
      <w:r>
        <w:t>This summary consolidates four registered evaluation records. Earlier audit-trail records are treated as historical baseline evidence. The case-specific CG-CASE-HP-002 evaluation is treated as the latest regression outcome because it records the corrected authorized run and Gate 3 memo admission.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Correspondent Gate | Hackathon Test Evaluation Executive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03B6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6A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03B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Display" w:hAnsi="Aptos Display"/>
      <w:b/>
      <w:i/>
      <w:iCs/>
      <w:color w:val="2D6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Correspondent Gate Hackathon - Executive Summary: Test Evaluation</dc:title>
  <dc:subject>Hackathon panelist executive summary</dc:subject>
  <dc:creator>Raymund Esponilla</dc:creator>
  <keywords/>
  <dc:description>generated by python-docx</dc:description>
  <lastModifiedBy>Raymund Esponilla</lastModifiedBy>
  <revision>1</revision>
  <dcterms:created xsi:type="dcterms:W3CDTF">2026-10-25T19:50:09.4955595Z</dcterms:created>
  <dcterms:modified xsi:type="dcterms:W3CDTF">2026-10-25T19:50:09.4955595Z</dcterms:modified>
  <category/>
</coreProperties>
</file>