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F5F"/>
          <w:sz w:val="54"/>
        </w:rPr>
        <w:t>CORRESPONDENT GATE</w:t>
      </w:r>
    </w:p>
    <w:p>
      <w:pPr>
        <w:jc w:val="center"/>
      </w:pPr>
      <w:r>
        <w:rPr>
          <w:b/>
          <w:color w:val="1F7A70"/>
          <w:sz w:val="38"/>
        </w:rPr>
        <w:t>Operations, Monitoring and Continuous Improvement Plan</w:t>
      </w:r>
    </w:p>
    <w:p>
      <w:pPr>
        <w:jc w:val="center"/>
      </w:pPr>
      <w:r>
        <w:rPr>
          <w:i/>
        </w:rPr>
        <w:t>Operational ownership, observability, incident response, Agent quality, model governance, cost control, and continuous improvement</w:t>
      </w:r>
    </w:p>
    <w:tbl>
      <w:tblPr>
        <w:tblStyle w:val="TableGrid"/>
        <w:tblW w:type="auto" w:w="0"/>
        <w:jc w:val="center"/>
        <w:tblLook w:firstColumn="1" w:firstRow="1" w:lastColumn="0" w:lastRow="0" w:noHBand="0" w:noVBand="1" w:val="04A0"/>
      </w:tblPr>
      <w:tblGrid>
        <w:gridCol w:w="5112"/>
        <w:gridCol w:w="5112"/>
      </w:tblGrid>
      <w:tr>
        <w:tc>
          <w:tcPr>
            <w:tcW w:type="dxa" w:w="5112"/>
            <w:shd w:fill="173F5F"/>
          </w:tcPr>
          <w:p>
            <w:r>
              <w:rPr>
                <w:b/>
                <w:color w:val="FFFFFF"/>
                <w:sz w:val="16"/>
              </w:rPr>
              <w:t>Document field</w:t>
            </w:r>
          </w:p>
        </w:tc>
        <w:tc>
          <w:tcPr>
            <w:tcW w:type="dxa" w:w="5112"/>
            <w:shd w:fill="173F5F"/>
          </w:tcPr>
          <w:p>
            <w:r>
              <w:rPr>
                <w:b/>
                <w:color w:val="FFFFFF"/>
                <w:sz w:val="16"/>
              </w:rPr>
              <w:t>Value</w:t>
            </w:r>
          </w:p>
        </w:tc>
      </w:tr>
      <w:tr>
        <w:tc>
          <w:tcPr>
            <w:tcW w:type="dxa" w:w="5112"/>
          </w:tcPr>
          <w:p>
            <w:pPr>
              <w:spacing w:after="20"/>
            </w:pPr>
            <w:r>
              <w:rPr>
                <w:sz w:val="16"/>
              </w:rPr>
              <w:t>Status</w:t>
            </w:r>
          </w:p>
        </w:tc>
        <w:tc>
          <w:tcPr>
            <w:tcW w:type="dxa" w:w="5112"/>
          </w:tcPr>
          <w:p>
            <w:pPr>
              <w:spacing w:after="20"/>
            </w:pPr>
            <w:r>
              <w:rPr>
                <w:sz w:val="16"/>
              </w:rPr>
              <w:t>RECOMMENDATION / target operating model. No production telemetry or operational SLO has yet been established.</w:t>
            </w:r>
          </w:p>
        </w:tc>
      </w:tr>
      <w:tr>
        <w:tc>
          <w:tcPr>
            <w:tcW w:type="dxa" w:w="5112"/>
            <w:shd w:fill="F4F7FA"/>
          </w:tcPr>
          <w:p>
            <w:pPr>
              <w:spacing w:after="20"/>
            </w:pPr>
            <w:r>
              <w:rPr>
                <w:sz w:val="16"/>
              </w:rPr>
              <w:t>Companion document</w:t>
            </w:r>
          </w:p>
        </w:tc>
        <w:tc>
          <w:tcPr>
            <w:tcW w:type="dxa" w:w="5112"/>
            <w:shd w:fill="F4F7FA"/>
          </w:tcPr>
          <w:p>
            <w:pPr>
              <w:spacing w:after="20"/>
            </w:pPr>
            <w:r>
              <w:rPr>
                <w:sz w:val="16"/>
              </w:rPr>
              <w:t>Correspondent Gate Production Readiness Strategy - Deployment Stage 5.</w:t>
            </w:r>
          </w:p>
        </w:tc>
      </w:tr>
      <w:tr>
        <w:tc>
          <w:tcPr>
            <w:tcW w:type="dxa" w:w="5112"/>
          </w:tcPr>
          <w:p>
            <w:pPr>
              <w:spacing w:after="20"/>
            </w:pPr>
            <w:r>
              <w:rPr>
                <w:sz w:val="16"/>
              </w:rPr>
              <w:t>Objective</w:t>
            </w:r>
          </w:p>
        </w:tc>
        <w:tc>
          <w:tcPr>
            <w:tcW w:type="dxa" w:w="5112"/>
          </w:tcPr>
          <w:p>
            <w:pPr>
              <w:spacing w:after="20"/>
            </w:pPr>
            <w:r>
              <w:rPr>
                <w:sz w:val="16"/>
              </w:rPr>
              <w:t>Keep the service safe, available, explainable, cost-controlled, auditable, and continuously improving after go-live.</w:t>
            </w:r>
          </w:p>
        </w:tc>
      </w:tr>
      <w:tr>
        <w:tc>
          <w:tcPr>
            <w:tcW w:type="dxa" w:w="5112"/>
            <w:shd w:fill="F4F7FA"/>
          </w:tcPr>
          <w:p>
            <w:pPr>
              <w:spacing w:after="20"/>
            </w:pPr>
            <w:r>
              <w:rPr>
                <w:sz w:val="16"/>
              </w:rPr>
              <w:t>Operations rule</w:t>
            </w:r>
          </w:p>
        </w:tc>
        <w:tc>
          <w:tcPr>
            <w:tcW w:type="dxa" w:w="5112"/>
            <w:shd w:fill="F4F7FA"/>
          </w:tcPr>
          <w:p>
            <w:pPr>
              <w:spacing w:after="20"/>
            </w:pPr>
            <w:r>
              <w:rPr>
                <w:sz w:val="16"/>
              </w:rPr>
              <w:t>Every case and component event must be traceable through Case ID, Run ID, Correlation ID, environment, version, and timestamp.</w:t>
            </w:r>
          </w:p>
        </w:tc>
      </w:tr>
    </w:tbl>
    <w:p/>
    <w:tbl>
      <w:tblPr>
        <w:tblW w:type="auto" w:w="0"/>
        <w:tblLook w:firstColumn="1" w:firstRow="1" w:lastColumn="0" w:lastRow="0" w:noHBand="0" w:noVBand="1" w:val="04A0"/>
      </w:tblPr>
      <w:tblGrid>
        <w:gridCol w:w="10224"/>
      </w:tblGrid>
      <w:tr>
        <w:tc>
          <w:tcPr>
            <w:tcW w:type="dxa" w:w="10224"/>
            <w:shd w:fill="FFF2CC"/>
          </w:tcPr>
          <w:p>
            <w:r>
              <w:rPr>
                <w:b/>
                <w:color w:val="1F7A70"/>
              </w:rPr>
              <w:t xml:space="preserve">OPERATIONS PRINCIPLE  </w:t>
            </w:r>
            <w:r>
              <w:t>Monitor the control system, not only the Agent. A healthy conversation metric does not prove a correct score, a complete evidence trail, a valid human approval, or a successful downstream onboarding action.</w:t>
            </w:r>
          </w:p>
        </w:tc>
      </w:tr>
    </w:tbl>
    <w:p/>
    <w:p>
      <w:pPr>
        <w:pStyle w:val="Heading1"/>
      </w:pPr>
      <w:r>
        <w:t>1. Operating model and ownership</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F5F"/>
          </w:tcPr>
          <w:p>
            <w:r>
              <w:rPr>
                <w:b/>
                <w:color w:val="FFFFFF"/>
                <w:sz w:val="16"/>
              </w:rPr>
              <w:t>Role</w:t>
            </w:r>
          </w:p>
        </w:tc>
        <w:tc>
          <w:tcPr>
            <w:tcW w:type="dxa" w:w="3408"/>
            <w:shd w:fill="173F5F"/>
          </w:tcPr>
          <w:p>
            <w:r>
              <w:rPr>
                <w:b/>
                <w:color w:val="FFFFFF"/>
                <w:sz w:val="16"/>
              </w:rPr>
              <w:t>Accountability</w:t>
            </w:r>
          </w:p>
        </w:tc>
        <w:tc>
          <w:tcPr>
            <w:tcW w:type="dxa" w:w="3408"/>
            <w:shd w:fill="173F5F"/>
          </w:tcPr>
          <w:p>
            <w:r>
              <w:rPr>
                <w:b/>
                <w:color w:val="FFFFFF"/>
                <w:sz w:val="16"/>
              </w:rPr>
              <w:t>Operational responsibilities</w:t>
            </w:r>
          </w:p>
        </w:tc>
      </w:tr>
      <w:tr>
        <w:tc>
          <w:tcPr>
            <w:tcW w:type="dxa" w:w="3408"/>
          </w:tcPr>
          <w:p>
            <w:pPr>
              <w:spacing w:after="20"/>
            </w:pPr>
            <w:r>
              <w:rPr>
                <w:sz w:val="16"/>
              </w:rPr>
              <w:t>Product Owner</w:t>
            </w:r>
          </w:p>
        </w:tc>
        <w:tc>
          <w:tcPr>
            <w:tcW w:type="dxa" w:w="3408"/>
          </w:tcPr>
          <w:p>
            <w:pPr>
              <w:spacing w:after="20"/>
            </w:pPr>
            <w:r>
              <w:rPr>
                <w:sz w:val="16"/>
              </w:rPr>
              <w:t>Service outcome, roadmap, prioritization, adoption.</w:t>
            </w:r>
          </w:p>
        </w:tc>
        <w:tc>
          <w:tcPr>
            <w:tcW w:type="dxa" w:w="3408"/>
          </w:tcPr>
          <w:p>
            <w:pPr>
              <w:spacing w:after="20"/>
            </w:pPr>
            <w:r>
              <w:rPr>
                <w:sz w:val="16"/>
              </w:rPr>
              <w:t>Approve backlog, SLO trade-offs, pilot cohorts, user communications, and retirement decisions.</w:t>
            </w:r>
          </w:p>
        </w:tc>
      </w:tr>
      <w:tr>
        <w:tc>
          <w:tcPr>
            <w:tcW w:type="dxa" w:w="3408"/>
            <w:shd w:fill="F4F7FA"/>
          </w:tcPr>
          <w:p>
            <w:pPr>
              <w:spacing w:after="20"/>
            </w:pPr>
            <w:r>
              <w:rPr>
                <w:sz w:val="16"/>
              </w:rPr>
              <w:t>Business / Correspondent Banking Owner</w:t>
            </w:r>
          </w:p>
        </w:tc>
        <w:tc>
          <w:tcPr>
            <w:tcW w:type="dxa" w:w="3408"/>
            <w:shd w:fill="F4F7FA"/>
          </w:tcPr>
          <w:p>
            <w:pPr>
              <w:spacing w:after="20"/>
            </w:pPr>
            <w:r>
              <w:rPr>
                <w:sz w:val="16"/>
              </w:rPr>
              <w:t>Process outcome and relationship policy.</w:t>
            </w:r>
          </w:p>
        </w:tc>
        <w:tc>
          <w:tcPr>
            <w:tcW w:type="dxa" w:w="3408"/>
            <w:shd w:fill="F4F7FA"/>
          </w:tcPr>
          <w:p>
            <w:pPr>
              <w:spacing w:after="20"/>
            </w:pPr>
            <w:r>
              <w:rPr>
                <w:sz w:val="16"/>
              </w:rPr>
              <w:t>Own process rules, success measures, and manual fallback.</w:t>
            </w:r>
          </w:p>
        </w:tc>
      </w:tr>
      <w:tr>
        <w:tc>
          <w:tcPr>
            <w:tcW w:type="dxa" w:w="3408"/>
          </w:tcPr>
          <w:p>
            <w:pPr>
              <w:spacing w:after="20"/>
            </w:pPr>
            <w:r>
              <w:rPr>
                <w:sz w:val="16"/>
              </w:rPr>
              <w:t>Risk Model Owner</w:t>
            </w:r>
          </w:p>
        </w:tc>
        <w:tc>
          <w:tcPr>
            <w:tcW w:type="dxa" w:w="3408"/>
          </w:tcPr>
          <w:p>
            <w:pPr>
              <w:spacing w:after="20"/>
            </w:pPr>
            <w:r>
              <w:rPr>
                <w:sz w:val="16"/>
              </w:rPr>
              <w:t>Scoring design and configuration authority.</w:t>
            </w:r>
          </w:p>
        </w:tc>
        <w:tc>
          <w:tcPr>
            <w:tcW w:type="dxa" w:w="3408"/>
          </w:tcPr>
          <w:p>
            <w:pPr>
              <w:spacing w:after="20"/>
            </w:pPr>
            <w:r>
              <w:rPr>
                <w:sz w:val="16"/>
              </w:rPr>
              <w:t>Approve mappings, weights, bands, multipliers, floor, hard exclusions, overrides, and model changes.</w:t>
            </w:r>
          </w:p>
        </w:tc>
      </w:tr>
      <w:tr>
        <w:tc>
          <w:tcPr>
            <w:tcW w:type="dxa" w:w="3408"/>
            <w:shd w:fill="F4F7FA"/>
          </w:tcPr>
          <w:p>
            <w:pPr>
              <w:spacing w:after="20"/>
            </w:pPr>
            <w:r>
              <w:rPr>
                <w:sz w:val="16"/>
              </w:rPr>
              <w:t>Compliance / MLRO delegate</w:t>
            </w:r>
          </w:p>
        </w:tc>
        <w:tc>
          <w:tcPr>
            <w:tcW w:type="dxa" w:w="3408"/>
            <w:shd w:fill="F4F7FA"/>
          </w:tcPr>
          <w:p>
            <w:pPr>
              <w:spacing w:after="20"/>
            </w:pPr>
            <w:r>
              <w:rPr>
                <w:sz w:val="16"/>
              </w:rPr>
              <w:t>Regulatory and control interpretation.</w:t>
            </w:r>
          </w:p>
        </w:tc>
        <w:tc>
          <w:tcPr>
            <w:tcW w:type="dxa" w:w="3408"/>
            <w:shd w:fill="F4F7FA"/>
          </w:tcPr>
          <w:p>
            <w:pPr>
              <w:spacing w:after="20"/>
            </w:pPr>
            <w:r>
              <w:rPr>
                <w:sz w:val="16"/>
              </w:rPr>
              <w:t>Approve due-diligence controls, evidence requirements, escalation and exception policy.</w:t>
            </w:r>
          </w:p>
        </w:tc>
      </w:tr>
      <w:tr>
        <w:tc>
          <w:tcPr>
            <w:tcW w:type="dxa" w:w="3408"/>
          </w:tcPr>
          <w:p>
            <w:pPr>
              <w:spacing w:after="20"/>
            </w:pPr>
            <w:r>
              <w:rPr>
                <w:sz w:val="16"/>
              </w:rPr>
              <w:t>Platform Owner / Power Platform CoE</w:t>
            </w:r>
          </w:p>
        </w:tc>
        <w:tc>
          <w:tcPr>
            <w:tcW w:type="dxa" w:w="3408"/>
          </w:tcPr>
          <w:p>
            <w:pPr>
              <w:spacing w:after="20"/>
            </w:pPr>
            <w:r>
              <w:rPr>
                <w:sz w:val="16"/>
              </w:rPr>
              <w:t>Environments, DLP, capacity, ALM, connector governance.</w:t>
            </w:r>
          </w:p>
        </w:tc>
        <w:tc>
          <w:tcPr>
            <w:tcW w:type="dxa" w:w="3408"/>
          </w:tcPr>
          <w:p>
            <w:pPr>
              <w:spacing w:after="20"/>
            </w:pPr>
            <w:r>
              <w:rPr>
                <w:sz w:val="16"/>
              </w:rPr>
              <w:t>Monitor platform health, deployments, makers, capacity, licensing, and policy compliance.</w:t>
            </w:r>
          </w:p>
        </w:tc>
      </w:tr>
      <w:tr>
        <w:tc>
          <w:tcPr>
            <w:tcW w:type="dxa" w:w="3408"/>
            <w:shd w:fill="F4F7FA"/>
          </w:tcPr>
          <w:p>
            <w:pPr>
              <w:spacing w:after="20"/>
            </w:pPr>
            <w:r>
              <w:rPr>
                <w:sz w:val="16"/>
              </w:rPr>
              <w:t>AI / Agent Owner</w:t>
            </w:r>
          </w:p>
        </w:tc>
        <w:tc>
          <w:tcPr>
            <w:tcW w:type="dxa" w:w="3408"/>
            <w:shd w:fill="F4F7FA"/>
          </w:tcPr>
          <w:p>
            <w:pPr>
              <w:spacing w:after="20"/>
            </w:pPr>
            <w:r>
              <w:rPr>
                <w:sz w:val="16"/>
              </w:rPr>
              <w:t>Prompt, knowledge, tools, Agent behavior and evals.</w:t>
            </w:r>
          </w:p>
        </w:tc>
        <w:tc>
          <w:tcPr>
            <w:tcW w:type="dxa" w:w="3408"/>
            <w:shd w:fill="F4F7FA"/>
          </w:tcPr>
          <w:p>
            <w:pPr>
              <w:spacing w:after="20"/>
            </w:pPr>
            <w:r>
              <w:rPr>
                <w:sz w:val="16"/>
              </w:rPr>
              <w:t>Monitor Agent quality, grounding, token use, failures, drift, and versions.</w:t>
            </w:r>
          </w:p>
        </w:tc>
      </w:tr>
      <w:tr>
        <w:tc>
          <w:tcPr>
            <w:tcW w:type="dxa" w:w="3408"/>
          </w:tcPr>
          <w:p>
            <w:pPr>
              <w:spacing w:after="20"/>
            </w:pPr>
            <w:r>
              <w:rPr>
                <w:sz w:val="16"/>
              </w:rPr>
              <w:t>Application Support L1/L2</w:t>
            </w:r>
          </w:p>
        </w:tc>
        <w:tc>
          <w:tcPr>
            <w:tcW w:type="dxa" w:w="3408"/>
          </w:tcPr>
          <w:p>
            <w:pPr>
              <w:spacing w:after="20"/>
            </w:pPr>
            <w:r>
              <w:rPr>
                <w:sz w:val="16"/>
              </w:rPr>
              <w:t>User support and case recovery.</w:t>
            </w:r>
          </w:p>
        </w:tc>
        <w:tc>
          <w:tcPr>
            <w:tcW w:type="dxa" w:w="3408"/>
          </w:tcPr>
          <w:p>
            <w:pPr>
              <w:spacing w:after="20"/>
            </w:pPr>
            <w:r>
              <w:rPr>
                <w:sz w:val="16"/>
              </w:rPr>
              <w:t>Triage, known errors, rerun safe steps, manage queues, communicate status, escalate.</w:t>
            </w:r>
          </w:p>
        </w:tc>
      </w:tr>
      <w:tr>
        <w:tc>
          <w:tcPr>
            <w:tcW w:type="dxa" w:w="3408"/>
            <w:shd w:fill="F4F7FA"/>
          </w:tcPr>
          <w:p>
            <w:pPr>
              <w:spacing w:after="20"/>
            </w:pPr>
            <w:r>
              <w:rPr>
                <w:sz w:val="16"/>
              </w:rPr>
              <w:t>Engineering L3</w:t>
            </w:r>
          </w:p>
        </w:tc>
        <w:tc>
          <w:tcPr>
            <w:tcW w:type="dxa" w:w="3408"/>
            <w:shd w:fill="F4F7FA"/>
          </w:tcPr>
          <w:p>
            <w:pPr>
              <w:spacing w:after="20"/>
            </w:pPr>
            <w:r>
              <w:rPr>
                <w:sz w:val="16"/>
              </w:rPr>
              <w:t>Code, APIs, integrations, fixes.</w:t>
            </w:r>
          </w:p>
        </w:tc>
        <w:tc>
          <w:tcPr>
            <w:tcW w:type="dxa" w:w="3408"/>
            <w:shd w:fill="F4F7FA"/>
          </w:tcPr>
          <w:p>
            <w:pPr>
              <w:spacing w:after="20"/>
            </w:pPr>
            <w:r>
              <w:rPr>
                <w:sz w:val="16"/>
              </w:rPr>
              <w:t>Root cause, hotfix, rollback, capacity, dependency and security remediation.</w:t>
            </w:r>
          </w:p>
        </w:tc>
      </w:tr>
      <w:tr>
        <w:tc>
          <w:tcPr>
            <w:tcW w:type="dxa" w:w="3408"/>
          </w:tcPr>
          <w:p>
            <w:pPr>
              <w:spacing w:after="20"/>
            </w:pPr>
            <w:r>
              <w:rPr>
                <w:sz w:val="16"/>
              </w:rPr>
              <w:t>Security / Privacy / Records</w:t>
            </w:r>
          </w:p>
        </w:tc>
        <w:tc>
          <w:tcPr>
            <w:tcW w:type="dxa" w:w="3408"/>
          </w:tcPr>
          <w:p>
            <w:pPr>
              <w:spacing w:after="20"/>
            </w:pPr>
            <w:r>
              <w:rPr>
                <w:sz w:val="16"/>
              </w:rPr>
              <w:t>Protection and retention.</w:t>
            </w:r>
          </w:p>
        </w:tc>
        <w:tc>
          <w:tcPr>
            <w:tcW w:type="dxa" w:w="3408"/>
          </w:tcPr>
          <w:p>
            <w:pPr>
              <w:spacing w:after="20"/>
            </w:pPr>
            <w:r>
              <w:rPr>
                <w:sz w:val="16"/>
              </w:rPr>
              <w:t>Review access, incidents, transcripts, DLP, data loss, legal hold and deletion.</w:t>
            </w:r>
          </w:p>
        </w:tc>
      </w:tr>
      <w:tr>
        <w:tc>
          <w:tcPr>
            <w:tcW w:type="dxa" w:w="3408"/>
            <w:shd w:fill="F4F7FA"/>
          </w:tcPr>
          <w:p>
            <w:pPr>
              <w:spacing w:after="20"/>
            </w:pPr>
            <w:r>
              <w:rPr>
                <w:sz w:val="16"/>
              </w:rPr>
              <w:t>QA / Evaluation Owner</w:t>
            </w:r>
          </w:p>
        </w:tc>
        <w:tc>
          <w:tcPr>
            <w:tcW w:type="dxa" w:w="3408"/>
            <w:shd w:fill="F4F7FA"/>
          </w:tcPr>
          <w:p>
            <w:pPr>
              <w:spacing w:after="20"/>
            </w:pPr>
            <w:r>
              <w:rPr>
                <w:sz w:val="16"/>
              </w:rPr>
              <w:t>Regression evidence and production quality sampling.</w:t>
            </w:r>
          </w:p>
        </w:tc>
        <w:tc>
          <w:tcPr>
            <w:tcW w:type="dxa" w:w="3408"/>
            <w:shd w:fill="F4F7FA"/>
          </w:tcPr>
          <w:p>
            <w:pPr>
              <w:spacing w:after="20"/>
            </w:pPr>
            <w:r>
              <w:rPr>
                <w:sz w:val="16"/>
              </w:rPr>
              <w:t>Maintain golden sets, execute evals, calibrate reviewers, detect drift.</w:t>
            </w:r>
          </w:p>
        </w:tc>
      </w:tr>
    </w:tbl>
    <w:p/>
    <w:p>
      <w:pPr>
        <w:pStyle w:val="Heading1"/>
      </w:pPr>
      <w:r>
        <w:t>2. Observability architecture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F5F"/>
          </w:tcPr>
          <w:p>
            <w:r>
              <w:rPr>
                <w:b/>
                <w:color w:val="FFFFFF"/>
                <w:sz w:val="16"/>
              </w:rPr>
              <w:t>Telemetry plane</w:t>
            </w:r>
          </w:p>
        </w:tc>
        <w:tc>
          <w:tcPr>
            <w:tcW w:type="dxa" w:w="2556"/>
            <w:shd w:fill="173F5F"/>
          </w:tcPr>
          <w:p>
            <w:r>
              <w:rPr>
                <w:b/>
                <w:color w:val="FFFFFF"/>
                <w:sz w:val="16"/>
              </w:rPr>
              <w:t>Recommended source</w:t>
            </w:r>
          </w:p>
        </w:tc>
        <w:tc>
          <w:tcPr>
            <w:tcW w:type="dxa" w:w="2556"/>
            <w:shd w:fill="173F5F"/>
          </w:tcPr>
          <w:p>
            <w:r>
              <w:rPr>
                <w:b/>
                <w:color w:val="FFFFFF"/>
                <w:sz w:val="16"/>
              </w:rPr>
              <w:t>What to collect</w:t>
            </w:r>
          </w:p>
        </w:tc>
        <w:tc>
          <w:tcPr>
            <w:tcW w:type="dxa" w:w="2556"/>
            <w:shd w:fill="173F5F"/>
          </w:tcPr>
          <w:p>
            <w:r>
              <w:rPr>
                <w:b/>
                <w:color w:val="FFFFFF"/>
                <w:sz w:val="16"/>
              </w:rPr>
              <w:t>Retention/access note</w:t>
            </w:r>
          </w:p>
        </w:tc>
      </w:tr>
      <w:tr>
        <w:tc>
          <w:tcPr>
            <w:tcW w:type="dxa" w:w="2556"/>
          </w:tcPr>
          <w:p>
            <w:pPr>
              <w:spacing w:after="20"/>
            </w:pPr>
            <w:r>
              <w:rPr>
                <w:sz w:val="16"/>
              </w:rPr>
              <w:t>Agent</w:t>
            </w:r>
          </w:p>
        </w:tc>
        <w:tc>
          <w:tcPr>
            <w:tcW w:type="dxa" w:w="2556"/>
          </w:tcPr>
          <w:p>
            <w:pPr>
              <w:spacing w:after="20"/>
            </w:pPr>
            <w:r>
              <w:rPr>
                <w:sz w:val="16"/>
              </w:rPr>
              <w:t>Copilot Studio Monitor and analytics</w:t>
            </w:r>
          </w:p>
        </w:tc>
        <w:tc>
          <w:tcPr>
            <w:tcW w:type="dxa" w:w="2556"/>
          </w:tcPr>
          <w:p>
            <w:pPr>
              <w:spacing w:after="20"/>
            </w:pPr>
            <w:r>
              <w:rPr>
                <w:sz w:val="16"/>
              </w:rPr>
              <w:t>Runs/sessions, outcomes, resolution/escalation/abandonment, topic or trigger health, latency, errors, feedback, transcript sampling.</w:t>
            </w:r>
          </w:p>
        </w:tc>
        <w:tc>
          <w:tcPr>
            <w:tcW w:type="dxa" w:w="2556"/>
          </w:tcPr>
          <w:p>
            <w:pPr>
              <w:spacing w:after="20"/>
            </w:pPr>
            <w:r>
              <w:rPr>
                <w:sz w:val="16"/>
              </w:rPr>
              <w:t>Monitor data can differ from transcript retention; restrict transcript access and document retention.</w:t>
            </w:r>
          </w:p>
        </w:tc>
      </w:tr>
      <w:tr>
        <w:tc>
          <w:tcPr>
            <w:tcW w:type="dxa" w:w="2556"/>
            <w:shd w:fill="F4F7FA"/>
          </w:tcPr>
          <w:p>
            <w:pPr>
              <w:spacing w:after="20"/>
            </w:pPr>
            <w:r>
              <w:rPr>
                <w:sz w:val="16"/>
              </w:rPr>
              <w:t>Workflow</w:t>
            </w:r>
          </w:p>
        </w:tc>
        <w:tc>
          <w:tcPr>
            <w:tcW w:type="dxa" w:w="2556"/>
            <w:shd w:fill="F4F7FA"/>
          </w:tcPr>
          <w:p>
            <w:pPr>
              <w:spacing w:after="20"/>
            </w:pPr>
            <w:r>
              <w:rPr>
                <w:sz w:val="16"/>
              </w:rPr>
              <w:t>Power Automate analytics; Dataverse flow/run records; optional Log Analytics export</w:t>
            </w:r>
          </w:p>
        </w:tc>
        <w:tc>
          <w:tcPr>
            <w:tcW w:type="dxa" w:w="2556"/>
            <w:shd w:fill="F4F7FA"/>
          </w:tcPr>
          <w:p>
            <w:pPr>
              <w:spacing w:after="20"/>
            </w:pPr>
            <w:r>
              <w:rPr>
                <w:sz w:val="16"/>
              </w:rPr>
              <w:t>Trigger success, duration, retries, connector throttling, approval aging, timeouts, failed actions.</w:t>
            </w:r>
          </w:p>
        </w:tc>
        <w:tc>
          <w:tcPr>
            <w:tcW w:type="dxa" w:w="2556"/>
            <w:shd w:fill="F4F7FA"/>
          </w:tcPr>
          <w:p>
            <w:pPr>
              <w:spacing w:after="20"/>
            </w:pPr>
            <w:r>
              <w:rPr>
                <w:sz w:val="16"/>
              </w:rPr>
              <w:t>Retain enough for trend and audit without exposing payloads broadly.</w:t>
            </w:r>
          </w:p>
        </w:tc>
      </w:tr>
      <w:tr>
        <w:tc>
          <w:tcPr>
            <w:tcW w:type="dxa" w:w="2556"/>
          </w:tcPr>
          <w:p>
            <w:pPr>
              <w:spacing w:after="20"/>
            </w:pPr>
            <w:r>
              <w:rPr>
                <w:sz w:val="16"/>
              </w:rPr>
              <w:t>Deterministic APIs</w:t>
            </w:r>
          </w:p>
        </w:tc>
        <w:tc>
          <w:tcPr>
            <w:tcW w:type="dxa" w:w="2556"/>
          </w:tcPr>
          <w:p>
            <w:pPr>
              <w:spacing w:after="20"/>
            </w:pPr>
            <w:r>
              <w:rPr>
                <w:sz w:val="16"/>
              </w:rPr>
              <w:t>Application Insights and Azure Monitor</w:t>
            </w:r>
          </w:p>
        </w:tc>
        <w:tc>
          <w:tcPr>
            <w:tcW w:type="dxa" w:w="2556"/>
          </w:tcPr>
          <w:p>
            <w:pPr>
              <w:spacing w:after="20"/>
            </w:pPr>
            <w:r>
              <w:rPr>
                <w:sz w:val="16"/>
              </w:rPr>
              <w:t>Request rate, duration, dependencies, exceptions, status codes, cold starts, CPU/memory, queue depth, config version.</w:t>
            </w:r>
          </w:p>
        </w:tc>
        <w:tc>
          <w:tcPr>
            <w:tcW w:type="dxa" w:w="2556"/>
          </w:tcPr>
          <w:p>
            <w:pPr>
              <w:spacing w:after="20"/>
            </w:pPr>
            <w:r>
              <w:rPr>
                <w:sz w:val="16"/>
              </w:rPr>
              <w:t>Structured logs with redaction and correlation IDs.</w:t>
            </w:r>
          </w:p>
        </w:tc>
      </w:tr>
      <w:tr>
        <w:tc>
          <w:tcPr>
            <w:tcW w:type="dxa" w:w="2556"/>
            <w:shd w:fill="F4F7FA"/>
          </w:tcPr>
          <w:p>
            <w:pPr>
              <w:spacing w:after="20"/>
            </w:pPr>
            <w:r>
              <w:rPr>
                <w:sz w:val="16"/>
              </w:rPr>
              <w:t>Data</w:t>
            </w:r>
          </w:p>
        </w:tc>
        <w:tc>
          <w:tcPr>
            <w:tcW w:type="dxa" w:w="2556"/>
            <w:shd w:fill="F4F7FA"/>
          </w:tcPr>
          <w:p>
            <w:pPr>
              <w:spacing w:after="20"/>
            </w:pPr>
            <w:r>
              <w:rPr>
                <w:sz w:val="16"/>
              </w:rPr>
              <w:t>Dataverse admin analytics and audit; storage metrics</w:t>
            </w:r>
          </w:p>
        </w:tc>
        <w:tc>
          <w:tcPr>
            <w:tcW w:type="dxa" w:w="2556"/>
            <w:shd w:fill="F4F7FA"/>
          </w:tcPr>
          <w:p>
            <w:pPr>
              <w:spacing w:after="20"/>
            </w:pPr>
            <w:r>
              <w:rPr>
                <w:sz w:val="16"/>
              </w:rPr>
              <w:t>Capacity, request limits, query performance, audit growth, failed writes, privilege changes, document retention.</w:t>
            </w:r>
          </w:p>
        </w:tc>
        <w:tc>
          <w:tcPr>
            <w:tcW w:type="dxa" w:w="2556"/>
            <w:shd w:fill="F4F7FA"/>
          </w:tcPr>
          <w:p>
            <w:pPr>
              <w:spacing w:after="20"/>
            </w:pPr>
            <w:r>
              <w:rPr>
                <w:sz w:val="16"/>
              </w:rPr>
              <w:t>Auditors get read-only purpose-limited access.</w:t>
            </w:r>
          </w:p>
        </w:tc>
      </w:tr>
      <w:tr>
        <w:tc>
          <w:tcPr>
            <w:tcW w:type="dxa" w:w="2556"/>
          </w:tcPr>
          <w:p>
            <w:pPr>
              <w:spacing w:after="20"/>
            </w:pPr>
            <w:r>
              <w:rPr>
                <w:sz w:val="16"/>
              </w:rPr>
              <w:t>Integration</w:t>
            </w:r>
          </w:p>
        </w:tc>
        <w:tc>
          <w:tcPr>
            <w:tcW w:type="dxa" w:w="2556"/>
          </w:tcPr>
          <w:p>
            <w:pPr>
              <w:spacing w:after="20"/>
            </w:pPr>
            <w:r>
              <w:rPr>
                <w:sz w:val="16"/>
              </w:rPr>
              <w:t>API Management, Service Bus, Key Vault, connector health</w:t>
            </w:r>
          </w:p>
        </w:tc>
        <w:tc>
          <w:tcPr>
            <w:tcW w:type="dxa" w:w="2556"/>
          </w:tcPr>
          <w:p>
            <w:pPr>
              <w:spacing w:after="20"/>
            </w:pPr>
            <w:r>
              <w:rPr>
                <w:sz w:val="16"/>
              </w:rPr>
              <w:t>API latency/errors, token failures, throttling, dead letters, certificate/secret expiry, downstream availability.</w:t>
            </w:r>
          </w:p>
        </w:tc>
        <w:tc>
          <w:tcPr>
            <w:tcW w:type="dxa" w:w="2556"/>
          </w:tcPr>
          <w:p>
            <w:pPr>
              <w:spacing w:after="20"/>
            </w:pPr>
            <w:r>
              <w:rPr>
                <w:sz w:val="16"/>
              </w:rPr>
              <w:t>Alert before expiry; never log secrets or full tokens.</w:t>
            </w:r>
          </w:p>
        </w:tc>
      </w:tr>
      <w:tr>
        <w:tc>
          <w:tcPr>
            <w:tcW w:type="dxa" w:w="2556"/>
            <w:shd w:fill="F4F7FA"/>
          </w:tcPr>
          <w:p>
            <w:pPr>
              <w:spacing w:after="20"/>
            </w:pPr>
            <w:r>
              <w:rPr>
                <w:sz w:val="16"/>
              </w:rPr>
              <w:t>Business control</w:t>
            </w:r>
          </w:p>
        </w:tc>
        <w:tc>
          <w:tcPr>
            <w:tcW w:type="dxa" w:w="2556"/>
            <w:shd w:fill="F4F7FA"/>
          </w:tcPr>
          <w:p>
            <w:pPr>
              <w:spacing w:after="20"/>
            </w:pPr>
            <w:r>
              <w:rPr>
                <w:sz w:val="16"/>
              </w:rPr>
              <w:t>Dataverse/Power BI</w:t>
            </w:r>
          </w:p>
        </w:tc>
        <w:tc>
          <w:tcPr>
            <w:tcW w:type="dxa" w:w="2556"/>
            <w:shd w:fill="F4F7FA"/>
          </w:tcPr>
          <w:p>
            <w:pPr>
              <w:spacing w:after="20"/>
            </w:pPr>
            <w:r>
              <w:rPr>
                <w:sz w:val="16"/>
              </w:rPr>
              <w:t>Case aging, blocked stage, invalid evidence, exclusion frequency, score/band distribution, override rate, remand rate, committee outcome.</w:t>
            </w:r>
          </w:p>
        </w:tc>
        <w:tc>
          <w:tcPr>
            <w:tcW w:type="dxa" w:w="2556"/>
            <w:shd w:fill="F4F7FA"/>
          </w:tcPr>
          <w:p>
            <w:pPr>
              <w:spacing w:after="20"/>
            </w:pPr>
            <w:r>
              <w:rPr>
                <w:sz w:val="16"/>
              </w:rPr>
              <w:t>Segregate operational and executive audiences.</w:t>
            </w:r>
          </w:p>
        </w:tc>
      </w:tr>
      <w:tr>
        <w:tc>
          <w:tcPr>
            <w:tcW w:type="dxa" w:w="2556"/>
          </w:tcPr>
          <w:p>
            <w:pPr>
              <w:spacing w:after="20"/>
            </w:pPr>
            <w:r>
              <w:rPr>
                <w:sz w:val="16"/>
              </w:rPr>
              <w:t>Cost and consumption</w:t>
            </w:r>
          </w:p>
        </w:tc>
        <w:tc>
          <w:tcPr>
            <w:tcW w:type="dxa" w:w="2556"/>
          </w:tcPr>
          <w:p>
            <w:pPr>
              <w:spacing w:after="20"/>
            </w:pPr>
            <w:r>
              <w:rPr>
                <w:sz w:val="16"/>
              </w:rPr>
              <w:t>Power Platform capacity, Azure Cost Management, Copilot usage exports where available</w:t>
            </w:r>
          </w:p>
        </w:tc>
        <w:tc>
          <w:tcPr>
            <w:tcW w:type="dxa" w:w="2556"/>
          </w:tcPr>
          <w:p>
            <w:pPr>
              <w:spacing w:after="20"/>
            </w:pPr>
            <w:r>
              <w:rPr>
                <w:sz w:val="16"/>
              </w:rPr>
              <w:t>Agent messages/tokens, flow consumption, Dataverse storage/API, Function/container compute, logging volume, cost per completed case.</w:t>
            </w:r>
          </w:p>
        </w:tc>
        <w:tc>
          <w:tcPr>
            <w:tcW w:type="dxa" w:w="2556"/>
          </w:tcPr>
          <w:p>
            <w:pPr>
              <w:spacing w:after="20"/>
            </w:pPr>
            <w:r>
              <w:rPr>
                <w:sz w:val="16"/>
              </w:rPr>
              <w:t>Set budgets and anomaly alerts; reconcile estimates with actual telemetry.</w:t>
            </w:r>
          </w:p>
        </w:tc>
      </w:tr>
    </w:tbl>
    <w:p/>
    <w:p>
      <w:pPr>
        <w:pStyle w:val="Heading1"/>
      </w:pPr>
      <w:r>
        <w:t>3. Standard correlation and logging contract</w:t>
      </w:r>
    </w:p>
    <w:tbl>
      <w:tblPr>
        <w:tblStyle w:val="TableGrid"/>
        <w:tblW w:type="auto" w:w="0"/>
        <w:jc w:val="center"/>
        <w:tblLook w:firstColumn="1" w:firstRow="1" w:lastColumn="0" w:lastRow="0" w:noHBand="0" w:noVBand="1" w:val="04A0"/>
      </w:tblPr>
      <w:tblGrid>
        <w:gridCol w:w="5112"/>
        <w:gridCol w:w="5112"/>
      </w:tblGrid>
      <w:tr>
        <w:tc>
          <w:tcPr>
            <w:tcW w:type="dxa" w:w="5112"/>
            <w:shd w:fill="173F5F"/>
          </w:tcPr>
          <w:p>
            <w:r>
              <w:rPr>
                <w:b/>
                <w:color w:val="FFFFFF"/>
                <w:sz w:val="16"/>
              </w:rPr>
              <w:t>Field</w:t>
            </w:r>
          </w:p>
        </w:tc>
        <w:tc>
          <w:tcPr>
            <w:tcW w:type="dxa" w:w="5112"/>
            <w:shd w:fill="173F5F"/>
          </w:tcPr>
          <w:p>
            <w:r>
              <w:rPr>
                <w:b/>
                <w:color w:val="FFFFFF"/>
                <w:sz w:val="16"/>
              </w:rPr>
              <w:t>Requirement</w:t>
            </w:r>
          </w:p>
        </w:tc>
      </w:tr>
      <w:tr>
        <w:tc>
          <w:tcPr>
            <w:tcW w:type="dxa" w:w="5112"/>
          </w:tcPr>
          <w:p>
            <w:pPr>
              <w:spacing w:after="20"/>
            </w:pPr>
            <w:r>
              <w:rPr>
                <w:sz w:val="16"/>
              </w:rPr>
              <w:t>Case ID / Run ID</w:t>
            </w:r>
          </w:p>
        </w:tc>
        <w:tc>
          <w:tcPr>
            <w:tcW w:type="dxa" w:w="5112"/>
          </w:tcPr>
          <w:p>
            <w:pPr>
              <w:spacing w:after="20"/>
            </w:pPr>
            <w:r>
              <w:rPr>
                <w:sz w:val="16"/>
              </w:rPr>
              <w:t>Mandatory on every domain event and stored artifact.</w:t>
            </w:r>
          </w:p>
        </w:tc>
      </w:tr>
      <w:tr>
        <w:tc>
          <w:tcPr>
            <w:tcW w:type="dxa" w:w="5112"/>
            <w:shd w:fill="F4F7FA"/>
          </w:tcPr>
          <w:p>
            <w:pPr>
              <w:spacing w:after="20"/>
            </w:pPr>
            <w:r>
              <w:rPr>
                <w:sz w:val="16"/>
              </w:rPr>
              <w:t>Correlation ID / Causation ID</w:t>
            </w:r>
          </w:p>
        </w:tc>
        <w:tc>
          <w:tcPr>
            <w:tcW w:type="dxa" w:w="5112"/>
            <w:shd w:fill="F4F7FA"/>
          </w:tcPr>
          <w:p>
            <w:pPr>
              <w:spacing w:after="20"/>
            </w:pPr>
            <w:r>
              <w:rPr>
                <w:sz w:val="16"/>
              </w:rPr>
              <w:t>New correlation for the business run; causation links each event to its trigger.</w:t>
            </w:r>
          </w:p>
        </w:tc>
      </w:tr>
      <w:tr>
        <w:tc>
          <w:tcPr>
            <w:tcW w:type="dxa" w:w="5112"/>
          </w:tcPr>
          <w:p>
            <w:pPr>
              <w:spacing w:after="20"/>
            </w:pPr>
            <w:r>
              <w:rPr>
                <w:sz w:val="16"/>
              </w:rPr>
              <w:t>Component / Operation</w:t>
            </w:r>
          </w:p>
        </w:tc>
        <w:tc>
          <w:tcPr>
            <w:tcW w:type="dxa" w:w="5112"/>
          </w:tcPr>
          <w:p>
            <w:pPr>
              <w:spacing w:after="20"/>
            </w:pPr>
            <w:r>
              <w:rPr>
                <w:sz w:val="16"/>
              </w:rPr>
              <w:t>Agent, flow, API, function, queue, app, table, integration and operation name.</w:t>
            </w:r>
          </w:p>
        </w:tc>
      </w:tr>
      <w:tr>
        <w:tc>
          <w:tcPr>
            <w:tcW w:type="dxa" w:w="5112"/>
            <w:shd w:fill="F4F7FA"/>
          </w:tcPr>
          <w:p>
            <w:pPr>
              <w:spacing w:after="20"/>
            </w:pPr>
            <w:r>
              <w:rPr>
                <w:sz w:val="16"/>
              </w:rPr>
              <w:t>Environment / Region</w:t>
            </w:r>
          </w:p>
        </w:tc>
        <w:tc>
          <w:tcPr>
            <w:tcW w:type="dxa" w:w="5112"/>
            <w:shd w:fill="F4F7FA"/>
          </w:tcPr>
          <w:p>
            <w:pPr>
              <w:spacing w:after="20"/>
            </w:pPr>
            <w:r>
              <w:rPr>
                <w:sz w:val="16"/>
              </w:rPr>
              <w:t>Dev, test, UAT, production and deployment region.</w:t>
            </w:r>
          </w:p>
        </w:tc>
      </w:tr>
      <w:tr>
        <w:tc>
          <w:tcPr>
            <w:tcW w:type="dxa" w:w="5112"/>
          </w:tcPr>
          <w:p>
            <w:pPr>
              <w:spacing w:after="20"/>
            </w:pPr>
            <w:r>
              <w:rPr>
                <w:sz w:val="16"/>
              </w:rPr>
              <w:t>Version set</w:t>
            </w:r>
          </w:p>
        </w:tc>
        <w:tc>
          <w:tcPr>
            <w:tcW w:type="dxa" w:w="5112"/>
          </w:tcPr>
          <w:p>
            <w:pPr>
              <w:spacing w:after="20"/>
            </w:pPr>
            <w:r>
              <w:rPr>
                <w:sz w:val="16"/>
              </w:rPr>
              <w:t>Agent instruction, model, schema, mapping, validator, scoring, app solution, flow, API image.</w:t>
            </w:r>
          </w:p>
        </w:tc>
      </w:tr>
      <w:tr>
        <w:tc>
          <w:tcPr>
            <w:tcW w:type="dxa" w:w="5112"/>
            <w:shd w:fill="F4F7FA"/>
          </w:tcPr>
          <w:p>
            <w:pPr>
              <w:spacing w:after="20"/>
            </w:pPr>
            <w:r>
              <w:rPr>
                <w:sz w:val="16"/>
              </w:rPr>
              <w:t>Outcome and error class</w:t>
            </w:r>
          </w:p>
        </w:tc>
        <w:tc>
          <w:tcPr>
            <w:tcW w:type="dxa" w:w="5112"/>
            <w:shd w:fill="F4F7FA"/>
          </w:tcPr>
          <w:p>
            <w:pPr>
              <w:spacing w:after="20"/>
            </w:pPr>
            <w:r>
              <w:rPr>
                <w:sz w:val="16"/>
              </w:rPr>
              <w:t>Success, business refusal, validation error, transient dependency, permission, security, capacity, unhandled.</w:t>
            </w:r>
          </w:p>
        </w:tc>
      </w:tr>
      <w:tr>
        <w:tc>
          <w:tcPr>
            <w:tcW w:type="dxa" w:w="5112"/>
          </w:tcPr>
          <w:p>
            <w:pPr>
              <w:spacing w:after="20"/>
            </w:pPr>
            <w:r>
              <w:rPr>
                <w:sz w:val="16"/>
              </w:rPr>
              <w:t>Timing and consumption</w:t>
            </w:r>
          </w:p>
        </w:tc>
        <w:tc>
          <w:tcPr>
            <w:tcW w:type="dxa" w:w="5112"/>
          </w:tcPr>
          <w:p>
            <w:pPr>
              <w:spacing w:after="20"/>
            </w:pPr>
            <w:r>
              <w:rPr>
                <w:sz w:val="16"/>
              </w:rPr>
              <w:t>Start/end, duration, retries, Agent input/output token or message estimate where available, cost allocation tag.</w:t>
            </w:r>
          </w:p>
        </w:tc>
      </w:tr>
      <w:tr>
        <w:tc>
          <w:tcPr>
            <w:tcW w:type="dxa" w:w="5112"/>
            <w:shd w:fill="F4F7FA"/>
          </w:tcPr>
          <w:p>
            <w:pPr>
              <w:spacing w:after="20"/>
            </w:pPr>
            <w:r>
              <w:rPr>
                <w:sz w:val="16"/>
              </w:rPr>
              <w:t>Privacy classification</w:t>
            </w:r>
          </w:p>
        </w:tc>
        <w:tc>
          <w:tcPr>
            <w:tcW w:type="dxa" w:w="5112"/>
            <w:shd w:fill="F4F7FA"/>
          </w:tcPr>
          <w:p>
            <w:pPr>
              <w:spacing w:after="20"/>
            </w:pPr>
            <w:r>
              <w:rPr>
                <w:sz w:val="16"/>
              </w:rPr>
              <w:t>Public/internal/confidential/restricted; redaction state; transcript allowed Y/N.</w:t>
            </w:r>
          </w:p>
        </w:tc>
      </w:tr>
    </w:tbl>
    <w:p/>
    <w:p>
      <w:pPr>
        <w:pStyle w:val="Heading1"/>
      </w:pPr>
      <w:r>
        <w:t>4. Service level objectives and indicators</w:t>
      </w:r>
    </w:p>
    <w:p>
      <w:r>
        <w:t>The following are recommended starting targets for pilot negotiation, not measured commitments. Final values require business criticality, case volumes, platform quotas, support coverage, and dependency analysis.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F5F"/>
          </w:tcPr>
          <w:p>
            <w:r>
              <w:rPr>
                <w:b/>
                <w:color w:val="FFFFFF"/>
                <w:sz w:val="16"/>
              </w:rPr>
              <w:t>Service level indicator</w:t>
            </w:r>
          </w:p>
        </w:tc>
        <w:tc>
          <w:tcPr>
            <w:tcW w:type="dxa" w:w="3408"/>
            <w:shd w:fill="173F5F"/>
          </w:tcPr>
          <w:p>
            <w:r>
              <w:rPr>
                <w:b/>
                <w:color w:val="FFFFFF"/>
                <w:sz w:val="16"/>
              </w:rPr>
              <w:t>Pilot target / alert</w:t>
            </w:r>
          </w:p>
        </w:tc>
        <w:tc>
          <w:tcPr>
            <w:tcW w:type="dxa" w:w="3408"/>
            <w:shd w:fill="173F5F"/>
          </w:tcPr>
          <w:p>
            <w:r>
              <w:rPr>
                <w:b/>
                <w:color w:val="FFFFFF"/>
                <w:sz w:val="16"/>
              </w:rPr>
              <w:t>Measurement</w:t>
            </w:r>
          </w:p>
        </w:tc>
      </w:tr>
      <w:tr>
        <w:tc>
          <w:tcPr>
            <w:tcW w:type="dxa" w:w="3408"/>
          </w:tcPr>
          <w:p>
            <w:pPr>
              <w:spacing w:after="20"/>
            </w:pPr>
            <w:r>
              <w:rPr>
                <w:sz w:val="16"/>
              </w:rPr>
              <w:t>Case workflow availability</w:t>
            </w:r>
          </w:p>
        </w:tc>
        <w:tc>
          <w:tcPr>
            <w:tcW w:type="dxa" w:w="3408"/>
          </w:tcPr>
          <w:p>
            <w:pPr>
              <w:spacing w:after="20"/>
            </w:pPr>
            <w:r>
              <w:rPr>
                <w:sz w:val="16"/>
              </w:rPr>
              <w:t>99.5% during supported hours; design toward 99.9% monthly after stabilization.</w:t>
            </w:r>
          </w:p>
        </w:tc>
        <w:tc>
          <w:tcPr>
            <w:tcW w:type="dxa" w:w="3408"/>
          </w:tcPr>
          <w:p>
            <w:pPr>
              <w:spacing w:after="20"/>
            </w:pPr>
            <w:r>
              <w:rPr>
                <w:sz w:val="16"/>
              </w:rPr>
              <w:t>Successful synthetic case-stage checks / scheduled checks.</w:t>
            </w:r>
          </w:p>
        </w:tc>
      </w:tr>
      <w:tr>
        <w:tc>
          <w:tcPr>
            <w:tcW w:type="dxa" w:w="3408"/>
            <w:shd w:fill="F4F7FA"/>
          </w:tcPr>
          <w:p>
            <w:pPr>
              <w:spacing w:after="20"/>
            </w:pPr>
            <w:r>
              <w:rPr>
                <w:sz w:val="16"/>
              </w:rPr>
              <w:t>Deterministic API success</w:t>
            </w:r>
          </w:p>
        </w:tc>
        <w:tc>
          <w:tcPr>
            <w:tcW w:type="dxa" w:w="3408"/>
            <w:shd w:fill="F4F7FA"/>
          </w:tcPr>
          <w:p>
            <w:pPr>
              <w:spacing w:after="20"/>
            </w:pPr>
            <w:r>
              <w:rPr>
                <w:sz w:val="16"/>
              </w:rPr>
              <w:t>&gt;=99.9% excluding deliberate 4xx/business refusals.</w:t>
            </w:r>
          </w:p>
        </w:tc>
        <w:tc>
          <w:tcPr>
            <w:tcW w:type="dxa" w:w="3408"/>
            <w:shd w:fill="F4F7FA"/>
          </w:tcPr>
          <w:p>
            <w:pPr>
              <w:spacing w:after="20"/>
            </w:pPr>
            <w:r>
              <w:rPr>
                <w:sz w:val="16"/>
              </w:rPr>
              <w:t>Successful requests / valid requests.</w:t>
            </w:r>
          </w:p>
        </w:tc>
      </w:tr>
      <w:tr>
        <w:tc>
          <w:tcPr>
            <w:tcW w:type="dxa" w:w="3408"/>
          </w:tcPr>
          <w:p>
            <w:pPr>
              <w:spacing w:after="20"/>
            </w:pPr>
            <w:r>
              <w:rPr>
                <w:sz w:val="16"/>
              </w:rPr>
              <w:t>Deterministic API latency</w:t>
            </w:r>
          </w:p>
        </w:tc>
        <w:tc>
          <w:tcPr>
            <w:tcW w:type="dxa" w:w="3408"/>
          </w:tcPr>
          <w:p>
            <w:pPr>
              <w:spacing w:after="20"/>
            </w:pPr>
            <w:r>
              <w:rPr>
                <w:sz w:val="16"/>
              </w:rPr>
              <w:t>p95 &lt;2 seconds per API; p99 tracked.</w:t>
            </w:r>
          </w:p>
        </w:tc>
        <w:tc>
          <w:tcPr>
            <w:tcW w:type="dxa" w:w="3408"/>
          </w:tcPr>
          <w:p>
            <w:pPr>
              <w:spacing w:after="20"/>
            </w:pPr>
            <w:r>
              <w:rPr>
                <w:sz w:val="16"/>
              </w:rPr>
              <w:t>Application Insights request duration.</w:t>
            </w:r>
          </w:p>
        </w:tc>
      </w:tr>
      <w:tr>
        <w:tc>
          <w:tcPr>
            <w:tcW w:type="dxa" w:w="3408"/>
            <w:shd w:fill="F4F7FA"/>
          </w:tcPr>
          <w:p>
            <w:pPr>
              <w:spacing w:after="20"/>
            </w:pPr>
            <w:r>
              <w:rPr>
                <w:sz w:val="16"/>
              </w:rPr>
              <w:t>Agent stage completion</w:t>
            </w:r>
          </w:p>
        </w:tc>
        <w:tc>
          <w:tcPr>
            <w:tcW w:type="dxa" w:w="3408"/>
            <w:shd w:fill="F4F7FA"/>
          </w:tcPr>
          <w:p>
            <w:pPr>
              <w:spacing w:after="20"/>
            </w:pPr>
            <w:r>
              <w:rPr>
                <w:sz w:val="16"/>
              </w:rPr>
              <w:t>&gt;=98% technical completion; business refusals reported separately.</w:t>
            </w:r>
          </w:p>
        </w:tc>
        <w:tc>
          <w:tcPr>
            <w:tcW w:type="dxa" w:w="3408"/>
            <w:shd w:fill="F4F7FA"/>
          </w:tcPr>
          <w:p>
            <w:pPr>
              <w:spacing w:after="20"/>
            </w:pPr>
            <w:r>
              <w:rPr>
                <w:sz w:val="16"/>
              </w:rPr>
              <w:t>Completed Agent stage / accepted triggers.</w:t>
            </w:r>
          </w:p>
        </w:tc>
      </w:tr>
      <w:tr>
        <w:tc>
          <w:tcPr>
            <w:tcW w:type="dxa" w:w="3408"/>
          </w:tcPr>
          <w:p>
            <w:pPr>
              <w:spacing w:after="20"/>
            </w:pPr>
            <w:r>
              <w:rPr>
                <w:sz w:val="16"/>
              </w:rPr>
              <w:t>Gate task aging</w:t>
            </w:r>
          </w:p>
        </w:tc>
        <w:tc>
          <w:tcPr>
            <w:tcW w:type="dxa" w:w="3408"/>
          </w:tcPr>
          <w:p>
            <w:pPr>
              <w:spacing w:after="20"/>
            </w:pPr>
            <w:r>
              <w:rPr>
                <w:sz w:val="16"/>
              </w:rPr>
              <w:t>Alert at 75% of due window; escalate at due date.</w:t>
            </w:r>
          </w:p>
        </w:tc>
        <w:tc>
          <w:tcPr>
            <w:tcW w:type="dxa" w:w="3408"/>
          </w:tcPr>
          <w:p>
            <w:pPr>
              <w:spacing w:after="20"/>
            </w:pPr>
            <w:r>
              <w:rPr>
                <w:sz w:val="16"/>
              </w:rPr>
              <w:t>Dataverse task timestamps.</w:t>
            </w:r>
          </w:p>
        </w:tc>
      </w:tr>
      <w:tr>
        <w:tc>
          <w:tcPr>
            <w:tcW w:type="dxa" w:w="3408"/>
            <w:shd w:fill="F4F7FA"/>
          </w:tcPr>
          <w:p>
            <w:pPr>
              <w:spacing w:after="20"/>
            </w:pPr>
            <w:r>
              <w:rPr>
                <w:sz w:val="16"/>
              </w:rPr>
              <w:t>Queue backlog</w:t>
            </w:r>
          </w:p>
        </w:tc>
        <w:tc>
          <w:tcPr>
            <w:tcW w:type="dxa" w:w="3408"/>
            <w:shd w:fill="F4F7FA"/>
          </w:tcPr>
          <w:p>
            <w:pPr>
              <w:spacing w:after="20"/>
            </w:pPr>
            <w:r>
              <w:rPr>
                <w:sz w:val="16"/>
              </w:rPr>
              <w:t>Alert if oldest message &gt;10 minutes or dead-letter count &gt;0.</w:t>
            </w:r>
          </w:p>
        </w:tc>
        <w:tc>
          <w:tcPr>
            <w:tcW w:type="dxa" w:w="3408"/>
            <w:shd w:fill="F4F7FA"/>
          </w:tcPr>
          <w:p>
            <w:pPr>
              <w:spacing w:after="20"/>
            </w:pPr>
            <w:r>
              <w:rPr>
                <w:sz w:val="16"/>
              </w:rPr>
              <w:t>Service Bus metrics.</w:t>
            </w:r>
          </w:p>
        </w:tc>
      </w:tr>
      <w:tr>
        <w:tc>
          <w:tcPr>
            <w:tcW w:type="dxa" w:w="3408"/>
          </w:tcPr>
          <w:p>
            <w:pPr>
              <w:spacing w:after="20"/>
            </w:pPr>
            <w:r>
              <w:rPr>
                <w:sz w:val="16"/>
              </w:rPr>
              <w:t>Evidence traceability</w:t>
            </w:r>
          </w:p>
        </w:tc>
        <w:tc>
          <w:tcPr>
            <w:tcW w:type="dxa" w:w="3408"/>
          </w:tcPr>
          <w:p>
            <w:pPr>
              <w:spacing w:after="20"/>
            </w:pPr>
            <w:r>
              <w:rPr>
                <w:sz w:val="16"/>
              </w:rPr>
              <w:t>100% official factors and exclusions resolve to retained source IDs.</w:t>
            </w:r>
          </w:p>
        </w:tc>
        <w:tc>
          <w:tcPr>
            <w:tcW w:type="dxa" w:w="3408"/>
          </w:tcPr>
          <w:p>
            <w:pPr>
              <w:spacing w:after="20"/>
            </w:pPr>
            <w:r>
              <w:rPr>
                <w:sz w:val="16"/>
              </w:rPr>
              <w:t>Nightly deterministic audit query.</w:t>
            </w:r>
          </w:p>
        </w:tc>
      </w:tr>
      <w:tr>
        <w:tc>
          <w:tcPr>
            <w:tcW w:type="dxa" w:w="3408"/>
            <w:shd w:fill="F4F7FA"/>
          </w:tcPr>
          <w:p>
            <w:pPr>
              <w:spacing w:after="20"/>
            </w:pPr>
            <w:r>
              <w:rPr>
                <w:sz w:val="16"/>
              </w:rPr>
              <w:t>Unauthorized decision rate</w:t>
            </w:r>
          </w:p>
        </w:tc>
        <w:tc>
          <w:tcPr>
            <w:tcW w:type="dxa" w:w="3408"/>
            <w:shd w:fill="F4F7FA"/>
          </w:tcPr>
          <w:p>
            <w:pPr>
              <w:spacing w:after="20"/>
            </w:pPr>
            <w:r>
              <w:rPr>
                <w:sz w:val="16"/>
              </w:rPr>
              <w:t>0 Agent-populated Gate 3 decisions.</w:t>
            </w:r>
          </w:p>
        </w:tc>
        <w:tc>
          <w:tcPr>
            <w:tcW w:type="dxa" w:w="3408"/>
            <w:shd w:fill="F4F7FA"/>
          </w:tcPr>
          <w:p>
            <w:pPr>
              <w:spacing w:after="20"/>
            </w:pPr>
            <w:r>
              <w:rPr>
                <w:sz w:val="16"/>
              </w:rPr>
              <w:t>Automated invariant check.</w:t>
            </w:r>
          </w:p>
        </w:tc>
      </w:tr>
      <w:tr>
        <w:tc>
          <w:tcPr>
            <w:tcW w:type="dxa" w:w="3408"/>
          </w:tcPr>
          <w:p>
            <w:pPr>
              <w:spacing w:after="20"/>
            </w:pPr>
            <w:r>
              <w:rPr>
                <w:sz w:val="16"/>
              </w:rPr>
              <w:t>Config drift</w:t>
            </w:r>
          </w:p>
        </w:tc>
        <w:tc>
          <w:tcPr>
            <w:tcW w:type="dxa" w:w="3408"/>
          </w:tcPr>
          <w:p>
            <w:pPr>
              <w:spacing w:after="20"/>
            </w:pPr>
            <w:r>
              <w:rPr>
                <w:sz w:val="16"/>
              </w:rPr>
              <w:t>0 unapproved production versions.</w:t>
            </w:r>
          </w:p>
        </w:tc>
        <w:tc>
          <w:tcPr>
            <w:tcW w:type="dxa" w:w="3408"/>
          </w:tcPr>
          <w:p>
            <w:pPr>
              <w:spacing w:after="20"/>
            </w:pPr>
            <w:r>
              <w:rPr>
                <w:sz w:val="16"/>
              </w:rPr>
              <w:t>Version registry vs deployed hash.</w:t>
            </w:r>
          </w:p>
        </w:tc>
      </w:tr>
      <w:tr>
        <w:tc>
          <w:tcPr>
            <w:tcW w:type="dxa" w:w="3408"/>
            <w:shd w:fill="F4F7FA"/>
          </w:tcPr>
          <w:p>
            <w:pPr>
              <w:spacing w:after="20"/>
            </w:pPr>
            <w:r>
              <w:rPr>
                <w:sz w:val="16"/>
              </w:rPr>
              <w:t>Cost anomaly</w:t>
            </w:r>
          </w:p>
        </w:tc>
        <w:tc>
          <w:tcPr>
            <w:tcW w:type="dxa" w:w="3408"/>
            <w:shd w:fill="F4F7FA"/>
          </w:tcPr>
          <w:p>
            <w:pPr>
              <w:spacing w:after="20"/>
            </w:pPr>
            <w:r>
              <w:rPr>
                <w:sz w:val="16"/>
              </w:rPr>
              <w:t>Alert at &gt;25% daily deviation from 28-day baseline or per-case budget breach.</w:t>
            </w:r>
          </w:p>
        </w:tc>
        <w:tc>
          <w:tcPr>
            <w:tcW w:type="dxa" w:w="3408"/>
            <w:shd w:fill="F4F7FA"/>
          </w:tcPr>
          <w:p>
            <w:pPr>
              <w:spacing w:after="20"/>
            </w:pPr>
            <w:r>
              <w:rPr>
                <w:sz w:val="16"/>
              </w:rPr>
              <w:t>Cost/consumption pipeline.</w:t>
            </w:r>
          </w:p>
        </w:tc>
      </w:tr>
    </w:tbl>
    <w:p/>
    <w:p>
      <w:pPr>
        <w:pStyle w:val="Heading1"/>
      </w:pPr>
      <w:r>
        <w:t>5. Dashboards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F5F"/>
          </w:tcPr>
          <w:p>
            <w:r>
              <w:rPr>
                <w:b/>
                <w:color w:val="FFFFFF"/>
                <w:sz w:val="16"/>
              </w:rPr>
              <w:t>Dashboard</w:t>
            </w:r>
          </w:p>
        </w:tc>
        <w:tc>
          <w:tcPr>
            <w:tcW w:type="dxa" w:w="3408"/>
            <w:shd w:fill="173F5F"/>
          </w:tcPr>
          <w:p>
            <w:r>
              <w:rPr>
                <w:b/>
                <w:color w:val="FFFFFF"/>
                <w:sz w:val="16"/>
              </w:rPr>
              <w:t>Audience</w:t>
            </w:r>
          </w:p>
        </w:tc>
        <w:tc>
          <w:tcPr>
            <w:tcW w:type="dxa" w:w="3408"/>
            <w:shd w:fill="173F5F"/>
          </w:tcPr>
          <w:p>
            <w:r>
              <w:rPr>
                <w:b/>
                <w:color w:val="FFFFFF"/>
                <w:sz w:val="16"/>
              </w:rPr>
              <w:t>Core views</w:t>
            </w:r>
          </w:p>
        </w:tc>
      </w:tr>
      <w:tr>
        <w:tc>
          <w:tcPr>
            <w:tcW w:type="dxa" w:w="3408"/>
          </w:tcPr>
          <w:p>
            <w:pPr>
              <w:spacing w:after="20"/>
            </w:pPr>
            <w:r>
              <w:rPr>
                <w:sz w:val="16"/>
              </w:rPr>
              <w:t>Operations cockpit</w:t>
            </w:r>
          </w:p>
        </w:tc>
        <w:tc>
          <w:tcPr>
            <w:tcW w:type="dxa" w:w="3408"/>
          </w:tcPr>
          <w:p>
            <w:pPr>
              <w:spacing w:after="20"/>
            </w:pPr>
            <w:r>
              <w:rPr>
                <w:sz w:val="16"/>
              </w:rPr>
              <w:t>L1/L2/L3, platform owner</w:t>
            </w:r>
          </w:p>
        </w:tc>
        <w:tc>
          <w:tcPr>
            <w:tcW w:type="dxa" w:w="3408"/>
          </w:tcPr>
          <w:p>
            <w:pPr>
              <w:spacing w:after="20"/>
            </w:pPr>
            <w:r>
              <w:rPr>
                <w:sz w:val="16"/>
              </w:rPr>
              <w:t>Availability, failed runs, blocked cases, queues, API latency/errors, connector health, secret expiry, current incidents.</w:t>
            </w:r>
          </w:p>
        </w:tc>
      </w:tr>
      <w:tr>
        <w:tc>
          <w:tcPr>
            <w:tcW w:type="dxa" w:w="3408"/>
            <w:shd w:fill="F4F7FA"/>
          </w:tcPr>
          <w:p>
            <w:pPr>
              <w:spacing w:after="20"/>
            </w:pPr>
            <w:r>
              <w:rPr>
                <w:sz w:val="16"/>
              </w:rPr>
              <w:t>Agent quality and cost</w:t>
            </w:r>
          </w:p>
        </w:tc>
        <w:tc>
          <w:tcPr>
            <w:tcW w:type="dxa" w:w="3408"/>
            <w:shd w:fill="F4F7FA"/>
          </w:tcPr>
          <w:p>
            <w:pPr>
              <w:spacing w:after="20"/>
            </w:pPr>
            <w:r>
              <w:rPr>
                <w:sz w:val="16"/>
              </w:rPr>
              <w:t>Agent owner, QA, product</w:t>
            </w:r>
          </w:p>
        </w:tc>
        <w:tc>
          <w:tcPr>
            <w:tcW w:type="dxa" w:w="3408"/>
            <w:shd w:fill="F4F7FA"/>
          </w:tcPr>
          <w:p>
            <w:pPr>
              <w:spacing w:after="20"/>
            </w:pPr>
            <w:r>
              <w:rPr>
                <w:sz w:val="16"/>
              </w:rPr>
              <w:t>Grounding failures, unresolved source references, refusal rate, human correction rate, memo defects, token/message use, cost per case, model/prompt version.</w:t>
            </w:r>
          </w:p>
        </w:tc>
      </w:tr>
      <w:tr>
        <w:tc>
          <w:tcPr>
            <w:tcW w:type="dxa" w:w="3408"/>
          </w:tcPr>
          <w:p>
            <w:pPr>
              <w:spacing w:after="20"/>
            </w:pPr>
            <w:r>
              <w:rPr>
                <w:sz w:val="16"/>
              </w:rPr>
              <w:t>Risk and control oversight</w:t>
            </w:r>
          </w:p>
        </w:tc>
        <w:tc>
          <w:tcPr>
            <w:tcW w:type="dxa" w:w="3408"/>
          </w:tcPr>
          <w:p>
            <w:pPr>
              <w:spacing w:after="20"/>
            </w:pPr>
            <w:r>
              <w:rPr>
                <w:sz w:val="16"/>
              </w:rPr>
              <w:t>Risk Model Owner, Compliance, auditors</w:t>
            </w:r>
          </w:p>
        </w:tc>
        <w:tc>
          <w:tcPr>
            <w:tcW w:type="dxa" w:w="3408"/>
          </w:tcPr>
          <w:p>
            <w:pPr>
              <w:spacing w:after="20"/>
            </w:pPr>
            <w:r>
              <w:rPr>
                <w:sz w:val="16"/>
              </w:rPr>
              <w:t>Hard exclusions, factor distribution, override rate/reasons, remands, four-eyes completion, stale decisions, config versions.</w:t>
            </w:r>
          </w:p>
        </w:tc>
      </w:tr>
      <w:tr>
        <w:tc>
          <w:tcPr>
            <w:tcW w:type="dxa" w:w="3408"/>
            <w:shd w:fill="F4F7FA"/>
          </w:tcPr>
          <w:p>
            <w:pPr>
              <w:spacing w:after="20"/>
            </w:pPr>
            <w:r>
              <w:rPr>
                <w:sz w:val="16"/>
              </w:rPr>
              <w:t>Business performance</w:t>
            </w:r>
          </w:p>
        </w:tc>
        <w:tc>
          <w:tcPr>
            <w:tcW w:type="dxa" w:w="3408"/>
            <w:shd w:fill="F4F7FA"/>
          </w:tcPr>
          <w:p>
            <w:pPr>
              <w:spacing w:after="20"/>
            </w:pPr>
            <w:r>
              <w:rPr>
                <w:sz w:val="16"/>
              </w:rPr>
              <w:t>Product/business owners</w:t>
            </w:r>
          </w:p>
        </w:tc>
        <w:tc>
          <w:tcPr>
            <w:tcW w:type="dxa" w:w="3408"/>
            <w:shd w:fill="F4F7FA"/>
          </w:tcPr>
          <w:p>
            <w:pPr>
              <w:spacing w:after="20"/>
            </w:pPr>
            <w:r>
              <w:rPr>
                <w:sz w:val="16"/>
              </w:rPr>
              <w:t>Volumes, cycle time by stage, backlog aging, committee outcomes, restrictions, periodic-review scheduling, adoption.</w:t>
            </w:r>
          </w:p>
        </w:tc>
      </w:tr>
      <w:tr>
        <w:tc>
          <w:tcPr>
            <w:tcW w:type="dxa" w:w="3408"/>
          </w:tcPr>
          <w:p>
            <w:pPr>
              <w:spacing w:after="20"/>
            </w:pPr>
            <w:r>
              <w:rPr>
                <w:sz w:val="16"/>
              </w:rPr>
              <w:t>Release health</w:t>
            </w:r>
          </w:p>
        </w:tc>
        <w:tc>
          <w:tcPr>
            <w:tcW w:type="dxa" w:w="3408"/>
          </w:tcPr>
          <w:p>
            <w:pPr>
              <w:spacing w:after="20"/>
            </w:pPr>
            <w:r>
              <w:rPr>
                <w:sz w:val="16"/>
              </w:rPr>
              <w:t>Engineering, CoE, change manager</w:t>
            </w:r>
          </w:p>
        </w:tc>
        <w:tc>
          <w:tcPr>
            <w:tcW w:type="dxa" w:w="3408"/>
          </w:tcPr>
          <w:p>
            <w:pPr>
              <w:spacing w:after="20"/>
            </w:pPr>
            <w:r>
              <w:rPr>
                <w:sz w:val="16"/>
              </w:rPr>
              <w:t>Deployment version, smoke tests, error regression, latency/cost delta, rollback readiness, open defects.</w:t>
            </w:r>
          </w:p>
        </w:tc>
      </w:tr>
    </w:tbl>
    <w:p/>
    <w:p>
      <w:pPr>
        <w:pStyle w:val="Heading1"/>
      </w:pPr>
      <w:r>
        <w:t>6. Alert catalogue and severity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F5F"/>
          </w:tcPr>
          <w:p>
            <w:r>
              <w:rPr>
                <w:b/>
                <w:color w:val="FFFFFF"/>
                <w:sz w:val="16"/>
              </w:rPr>
              <w:t>Severity</w:t>
            </w:r>
          </w:p>
        </w:tc>
        <w:tc>
          <w:tcPr>
            <w:tcW w:type="dxa" w:w="3408"/>
            <w:shd w:fill="173F5F"/>
          </w:tcPr>
          <w:p>
            <w:r>
              <w:rPr>
                <w:b/>
                <w:color w:val="FFFFFF"/>
                <w:sz w:val="16"/>
              </w:rPr>
              <w:t>Examples</w:t>
            </w:r>
          </w:p>
        </w:tc>
        <w:tc>
          <w:tcPr>
            <w:tcW w:type="dxa" w:w="3408"/>
            <w:shd w:fill="173F5F"/>
          </w:tcPr>
          <w:p>
            <w:r>
              <w:rPr>
                <w:b/>
                <w:color w:val="FFFFFF"/>
                <w:sz w:val="16"/>
              </w:rPr>
              <w:t>Response</w:t>
            </w:r>
          </w:p>
        </w:tc>
      </w:tr>
      <w:tr>
        <w:tc>
          <w:tcPr>
            <w:tcW w:type="dxa" w:w="3408"/>
          </w:tcPr>
          <w:p>
            <w:pPr>
              <w:spacing w:after="20"/>
            </w:pPr>
            <w:r>
              <w:rPr>
                <w:sz w:val="16"/>
              </w:rPr>
              <w:t>Sev 1 - Critical</w:t>
            </w:r>
          </w:p>
        </w:tc>
        <w:tc>
          <w:tcPr>
            <w:tcW w:type="dxa" w:w="3408"/>
          </w:tcPr>
          <w:p>
            <w:pPr>
              <w:spacing w:after="20"/>
            </w:pPr>
            <w:r>
              <w:rPr>
                <w:sz w:val="16"/>
              </w:rPr>
              <w:t>Unauthorized decision/write, confirmed sensitive-data exposure, broad unavailability, corrupted official scores, widespread security compromise.</w:t>
            </w:r>
          </w:p>
        </w:tc>
        <w:tc>
          <w:tcPr>
            <w:tcW w:type="dxa" w:w="3408"/>
          </w:tcPr>
          <w:p>
            <w:pPr>
              <w:spacing w:after="20"/>
            </w:pPr>
            <w:r>
              <w:rPr>
                <w:sz w:val="16"/>
              </w:rPr>
              <w:t>Page on-call immediately; stop affected processing; invoke incident command, evidence preservation, rollback/containment, business/compliance notification.</w:t>
            </w:r>
          </w:p>
        </w:tc>
      </w:tr>
      <w:tr>
        <w:tc>
          <w:tcPr>
            <w:tcW w:type="dxa" w:w="3408"/>
            <w:shd w:fill="F4F7FA"/>
          </w:tcPr>
          <w:p>
            <w:pPr>
              <w:spacing w:after="20"/>
            </w:pPr>
            <w:r>
              <w:rPr>
                <w:sz w:val="16"/>
              </w:rPr>
              <w:t>Sev 2 - High</w:t>
            </w:r>
          </w:p>
        </w:tc>
        <w:tc>
          <w:tcPr>
            <w:tcW w:type="dxa" w:w="3408"/>
            <w:shd w:fill="F4F7FA"/>
          </w:tcPr>
          <w:p>
            <w:pPr>
              <w:spacing w:after="20"/>
            </w:pPr>
            <w:r>
              <w:rPr>
                <w:sz w:val="16"/>
              </w:rPr>
              <w:t>Scoring/validation unavailable, queue backlog threatens SLA, config mismatch, systematic Agent source errors, failed Gate 3 creation.</w:t>
            </w:r>
          </w:p>
        </w:tc>
        <w:tc>
          <w:tcPr>
            <w:tcW w:type="dxa" w:w="3408"/>
            <w:shd w:fill="F4F7FA"/>
          </w:tcPr>
          <w:p>
            <w:pPr>
              <w:spacing w:after="20"/>
            </w:pPr>
            <w:r>
              <w:rPr>
                <w:sz w:val="16"/>
              </w:rPr>
              <w:t>Alert L2/L3 and owner; contain cohort; manual fallback; fix or rollback under emergency change.</w:t>
            </w:r>
          </w:p>
        </w:tc>
      </w:tr>
      <w:tr>
        <w:tc>
          <w:tcPr>
            <w:tcW w:type="dxa" w:w="3408"/>
          </w:tcPr>
          <w:p>
            <w:pPr>
              <w:spacing w:after="20"/>
            </w:pPr>
            <w:r>
              <w:rPr>
                <w:sz w:val="16"/>
              </w:rPr>
              <w:t>Sev 3 - Medium</w:t>
            </w:r>
          </w:p>
        </w:tc>
        <w:tc>
          <w:tcPr>
            <w:tcW w:type="dxa" w:w="3408"/>
          </w:tcPr>
          <w:p>
            <w:pPr>
              <w:spacing w:after="20"/>
            </w:pPr>
            <w:r>
              <w:rPr>
                <w:sz w:val="16"/>
              </w:rPr>
              <w:t>Single-case failure, intermittent connector issue, elevated corrections, cost anomaly, non-critical dashboard delay.</w:t>
            </w:r>
          </w:p>
        </w:tc>
        <w:tc>
          <w:tcPr>
            <w:tcW w:type="dxa" w:w="3408"/>
          </w:tcPr>
          <w:p>
            <w:pPr>
              <w:spacing w:after="20"/>
            </w:pPr>
            <w:r>
              <w:rPr>
                <w:sz w:val="16"/>
              </w:rPr>
              <w:t>Ticket, investigate within support window, safe replay if idempotent.</w:t>
            </w:r>
          </w:p>
        </w:tc>
      </w:tr>
      <w:tr>
        <w:tc>
          <w:tcPr>
            <w:tcW w:type="dxa" w:w="3408"/>
            <w:shd w:fill="F4F7FA"/>
          </w:tcPr>
          <w:p>
            <w:pPr>
              <w:spacing w:after="20"/>
            </w:pPr>
            <w:r>
              <w:rPr>
                <w:sz w:val="16"/>
              </w:rPr>
              <w:t>Sev 4 - Low</w:t>
            </w:r>
          </w:p>
        </w:tc>
        <w:tc>
          <w:tcPr>
            <w:tcW w:type="dxa" w:w="3408"/>
            <w:shd w:fill="F4F7FA"/>
          </w:tcPr>
          <w:p>
            <w:pPr>
              <w:spacing w:after="20"/>
            </w:pPr>
            <w:r>
              <w:rPr>
                <w:sz w:val="16"/>
              </w:rPr>
              <w:t>Cosmetic defect, documentation gap, minor usability issue.</w:t>
            </w:r>
          </w:p>
        </w:tc>
        <w:tc>
          <w:tcPr>
            <w:tcW w:type="dxa" w:w="3408"/>
            <w:shd w:fill="F4F7FA"/>
          </w:tcPr>
          <w:p>
            <w:pPr>
              <w:spacing w:after="20"/>
            </w:pPr>
            <w:r>
              <w:rPr>
                <w:sz w:val="16"/>
              </w:rPr>
              <w:t>Backlog and prioritize through normal release process.</w:t>
            </w:r>
          </w:p>
        </w:tc>
      </w:tr>
    </w:tbl>
    <w:p/>
    <w:p>
      <w:pPr>
        <w:pStyle w:val="Heading1"/>
      </w:pPr>
      <w:r>
        <w:t>7. Incident response workflow</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F5F"/>
          </w:tcPr>
          <w:p>
            <w:r>
              <w:rPr>
                <w:b/>
                <w:color w:val="FFFFFF"/>
                <w:sz w:val="16"/>
              </w:rPr>
              <w:t>Step</w:t>
            </w:r>
          </w:p>
        </w:tc>
        <w:tc>
          <w:tcPr>
            <w:tcW w:type="dxa" w:w="3408"/>
            <w:shd w:fill="173F5F"/>
          </w:tcPr>
          <w:p>
            <w:r>
              <w:rPr>
                <w:b/>
                <w:color w:val="FFFFFF"/>
                <w:sz w:val="16"/>
              </w:rPr>
              <w:t>Operational action</w:t>
            </w:r>
          </w:p>
        </w:tc>
        <w:tc>
          <w:tcPr>
            <w:tcW w:type="dxa" w:w="3408"/>
            <w:shd w:fill="173F5F"/>
          </w:tcPr>
          <w:p>
            <w:r>
              <w:rPr>
                <w:b/>
                <w:color w:val="FFFFFF"/>
                <w:sz w:val="16"/>
              </w:rPr>
              <w:t>Evidence retained</w:t>
            </w:r>
          </w:p>
        </w:tc>
      </w:tr>
      <w:tr>
        <w:tc>
          <w:tcPr>
            <w:tcW w:type="dxa" w:w="3408"/>
          </w:tcPr>
          <w:p>
            <w:pPr>
              <w:spacing w:after="20"/>
            </w:pPr>
            <w:r>
              <w:rPr>
                <w:sz w:val="16"/>
              </w:rPr>
              <w:t>Detect</w:t>
            </w:r>
          </w:p>
        </w:tc>
        <w:tc>
          <w:tcPr>
            <w:tcW w:type="dxa" w:w="3408"/>
          </w:tcPr>
          <w:p>
            <w:pPr>
              <w:spacing w:after="20"/>
            </w:pPr>
            <w:r>
              <w:rPr>
                <w:sz w:val="16"/>
              </w:rPr>
              <w:t>Alert, user report, audit finding, or QA sample creates incident.</w:t>
            </w:r>
          </w:p>
        </w:tc>
        <w:tc>
          <w:tcPr>
            <w:tcW w:type="dxa" w:w="3408"/>
          </w:tcPr>
          <w:p>
            <w:pPr>
              <w:spacing w:after="20"/>
            </w:pPr>
            <w:r>
              <w:rPr>
                <w:sz w:val="16"/>
              </w:rPr>
              <w:t>Alert payload, affected correlation IDs, first observed time.</w:t>
            </w:r>
          </w:p>
        </w:tc>
      </w:tr>
      <w:tr>
        <w:tc>
          <w:tcPr>
            <w:tcW w:type="dxa" w:w="3408"/>
            <w:shd w:fill="F4F7FA"/>
          </w:tcPr>
          <w:p>
            <w:pPr>
              <w:spacing w:after="20"/>
            </w:pPr>
            <w:r>
              <w:rPr>
                <w:sz w:val="16"/>
              </w:rPr>
              <w:t>Triage</w:t>
            </w:r>
          </w:p>
        </w:tc>
        <w:tc>
          <w:tcPr>
            <w:tcW w:type="dxa" w:w="3408"/>
            <w:shd w:fill="F4F7FA"/>
          </w:tcPr>
          <w:p>
            <w:pPr>
              <w:spacing w:after="20"/>
            </w:pPr>
            <w:r>
              <w:rPr>
                <w:sz w:val="16"/>
              </w:rPr>
              <w:t>Classify security/privacy/business/technical; determine scope, versions, affected cases, and whether official decisions may be wrong.</w:t>
            </w:r>
          </w:p>
        </w:tc>
        <w:tc>
          <w:tcPr>
            <w:tcW w:type="dxa" w:w="3408"/>
            <w:shd w:fill="F4F7FA"/>
          </w:tcPr>
          <w:p>
            <w:pPr>
              <w:spacing w:after="20"/>
            </w:pPr>
            <w:r>
              <w:rPr>
                <w:sz w:val="16"/>
              </w:rPr>
              <w:t>Triage checklist and severity rationale.</w:t>
            </w:r>
          </w:p>
        </w:tc>
      </w:tr>
      <w:tr>
        <w:tc>
          <w:tcPr>
            <w:tcW w:type="dxa" w:w="3408"/>
          </w:tcPr>
          <w:p>
            <w:pPr>
              <w:spacing w:after="20"/>
            </w:pPr>
            <w:r>
              <w:rPr>
                <w:sz w:val="16"/>
              </w:rPr>
              <w:t>Contain</w:t>
            </w:r>
          </w:p>
        </w:tc>
        <w:tc>
          <w:tcPr>
            <w:tcW w:type="dxa" w:w="3408"/>
          </w:tcPr>
          <w:p>
            <w:pPr>
              <w:spacing w:after="20"/>
            </w:pPr>
            <w:r>
              <w:rPr>
                <w:sz w:val="16"/>
              </w:rPr>
              <w:t>Pause trigger/flow, disable Agent action, quarantine queue, block config, revoke secret, switch to manual fallback.</w:t>
            </w:r>
          </w:p>
        </w:tc>
        <w:tc>
          <w:tcPr>
            <w:tcW w:type="dxa" w:w="3408"/>
          </w:tcPr>
          <w:p>
            <w:pPr>
              <w:spacing w:after="20"/>
            </w:pPr>
            <w:r>
              <w:rPr>
                <w:sz w:val="16"/>
              </w:rPr>
              <w:t>Containment approvals and exact changes.</w:t>
            </w:r>
          </w:p>
        </w:tc>
      </w:tr>
      <w:tr>
        <w:tc>
          <w:tcPr>
            <w:tcW w:type="dxa" w:w="3408"/>
            <w:shd w:fill="F4F7FA"/>
          </w:tcPr>
          <w:p>
            <w:pPr>
              <w:spacing w:after="20"/>
            </w:pPr>
            <w:r>
              <w:rPr>
                <w:sz w:val="16"/>
              </w:rPr>
              <w:t>Recover</w:t>
            </w:r>
          </w:p>
        </w:tc>
        <w:tc>
          <w:tcPr>
            <w:tcW w:type="dxa" w:w="3408"/>
            <w:shd w:fill="F4F7FA"/>
          </w:tcPr>
          <w:p>
            <w:pPr>
              <w:spacing w:after="20"/>
            </w:pPr>
            <w:r>
              <w:rPr>
                <w:sz w:val="16"/>
              </w:rPr>
              <w:t>Rollback release/config, replay idempotent messages, restore data, recreate evidence, validate affected cases.</w:t>
            </w:r>
          </w:p>
        </w:tc>
        <w:tc>
          <w:tcPr>
            <w:tcW w:type="dxa" w:w="3408"/>
            <w:shd w:fill="F4F7FA"/>
          </w:tcPr>
          <w:p>
            <w:pPr>
              <w:spacing w:after="20"/>
            </w:pPr>
            <w:r>
              <w:rPr>
                <w:sz w:val="16"/>
              </w:rPr>
              <w:t>Recovery commands, hashes, before/after results.</w:t>
            </w:r>
          </w:p>
        </w:tc>
      </w:tr>
      <w:tr>
        <w:tc>
          <w:tcPr>
            <w:tcW w:type="dxa" w:w="3408"/>
          </w:tcPr>
          <w:p>
            <w:pPr>
              <w:spacing w:after="20"/>
            </w:pPr>
            <w:r>
              <w:rPr>
                <w:sz w:val="16"/>
              </w:rPr>
              <w:t>Communicate</w:t>
            </w:r>
          </w:p>
        </w:tc>
        <w:tc>
          <w:tcPr>
            <w:tcW w:type="dxa" w:w="3408"/>
          </w:tcPr>
          <w:p>
            <w:pPr>
              <w:spacing w:after="20"/>
            </w:pPr>
            <w:r>
              <w:rPr>
                <w:sz w:val="16"/>
              </w:rPr>
              <w:t>Notify owners, users, Compliance, Security, Privacy, Legal and leadership according to severity.</w:t>
            </w:r>
          </w:p>
        </w:tc>
        <w:tc>
          <w:tcPr>
            <w:tcW w:type="dxa" w:w="3408"/>
          </w:tcPr>
          <w:p>
            <w:pPr>
              <w:spacing w:after="20"/>
            </w:pPr>
            <w:r>
              <w:rPr>
                <w:sz w:val="16"/>
              </w:rPr>
              <w:t>Communication log and regulatory assessment.</w:t>
            </w:r>
          </w:p>
        </w:tc>
      </w:tr>
      <w:tr>
        <w:tc>
          <w:tcPr>
            <w:tcW w:type="dxa" w:w="3408"/>
            <w:shd w:fill="F4F7FA"/>
          </w:tcPr>
          <w:p>
            <w:pPr>
              <w:spacing w:after="20"/>
            </w:pPr>
            <w:r>
              <w:rPr>
                <w:sz w:val="16"/>
              </w:rPr>
              <w:t>Learn</w:t>
            </w:r>
          </w:p>
        </w:tc>
        <w:tc>
          <w:tcPr>
            <w:tcW w:type="dxa" w:w="3408"/>
            <w:shd w:fill="F4F7FA"/>
          </w:tcPr>
          <w:p>
            <w:pPr>
              <w:spacing w:after="20"/>
            </w:pPr>
            <w:r>
              <w:rPr>
                <w:sz w:val="16"/>
              </w:rPr>
              <w:t>Root-cause analysis, corrective/preventive actions, regression test, prompt/config/code update, runbook change.</w:t>
            </w:r>
          </w:p>
        </w:tc>
        <w:tc>
          <w:tcPr>
            <w:tcW w:type="dxa" w:w="3408"/>
            <w:shd w:fill="F4F7FA"/>
          </w:tcPr>
          <w:p>
            <w:pPr>
              <w:spacing w:after="20"/>
            </w:pPr>
            <w:r>
              <w:rPr>
                <w:sz w:val="16"/>
              </w:rPr>
              <w:t>RCA, action owners, due dates, verification evidence.</w:t>
            </w:r>
          </w:p>
        </w:tc>
      </w:tr>
    </w:tbl>
    <w:p/>
    <w:p>
      <w:pPr>
        <w:pStyle w:val="Heading1"/>
      </w:pPr>
      <w:r>
        <w:t>8. Agent quality monitoring and evaluation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F5F"/>
          </w:tcPr>
          <w:p>
            <w:r>
              <w:rPr>
                <w:b/>
                <w:color w:val="FFFFFF"/>
                <w:sz w:val="16"/>
              </w:rPr>
              <w:t>Quality dimension</w:t>
            </w:r>
          </w:p>
        </w:tc>
        <w:tc>
          <w:tcPr>
            <w:tcW w:type="dxa" w:w="3408"/>
            <w:shd w:fill="173F5F"/>
          </w:tcPr>
          <w:p>
            <w:r>
              <w:rPr>
                <w:b/>
                <w:color w:val="FFFFFF"/>
                <w:sz w:val="16"/>
              </w:rPr>
              <w:t>Metric / test</w:t>
            </w:r>
          </w:p>
        </w:tc>
        <w:tc>
          <w:tcPr>
            <w:tcW w:type="dxa" w:w="3408"/>
            <w:shd w:fill="173F5F"/>
          </w:tcPr>
          <w:p>
            <w:r>
              <w:rPr>
                <w:b/>
                <w:color w:val="FFFFFF"/>
                <w:sz w:val="16"/>
              </w:rPr>
              <w:t>Recommended trigger</w:t>
            </w:r>
          </w:p>
        </w:tc>
      </w:tr>
      <w:tr>
        <w:tc>
          <w:tcPr>
            <w:tcW w:type="dxa" w:w="3408"/>
          </w:tcPr>
          <w:p>
            <w:pPr>
              <w:spacing w:after="20"/>
            </w:pPr>
            <w:r>
              <w:rPr>
                <w:sz w:val="16"/>
              </w:rPr>
              <w:t>Source grounding</w:t>
            </w:r>
          </w:p>
        </w:tc>
        <w:tc>
          <w:tcPr>
            <w:tcW w:type="dxa" w:w="3408"/>
          </w:tcPr>
          <w:p>
            <w:pPr>
              <w:spacing w:after="20"/>
            </w:pPr>
            <w:r>
              <w:rPr>
                <w:sz w:val="16"/>
              </w:rPr>
              <w:t>Percent of citations resolving to correct retained source field.</w:t>
            </w:r>
          </w:p>
        </w:tc>
        <w:tc>
          <w:tcPr>
            <w:tcW w:type="dxa" w:w="3408"/>
          </w:tcPr>
          <w:p>
            <w:pPr>
              <w:spacing w:after="20"/>
            </w:pPr>
            <w:r>
              <w:rPr>
                <w:sz w:val="16"/>
              </w:rPr>
              <w:t>100% for official-factor/exclusion narratives; block packet on unresolved source.</w:t>
            </w:r>
          </w:p>
        </w:tc>
      </w:tr>
      <w:tr>
        <w:tc>
          <w:tcPr>
            <w:tcW w:type="dxa" w:w="3408"/>
            <w:shd w:fill="F4F7FA"/>
          </w:tcPr>
          <w:p>
            <w:pPr>
              <w:spacing w:after="20"/>
            </w:pPr>
            <w:r>
              <w:rPr>
                <w:sz w:val="16"/>
              </w:rPr>
              <w:t>Fact accuracy</w:t>
            </w:r>
          </w:p>
        </w:tc>
        <w:tc>
          <w:tcPr>
            <w:tcW w:type="dxa" w:w="3408"/>
            <w:shd w:fill="F4F7FA"/>
          </w:tcPr>
          <w:p>
            <w:pPr>
              <w:spacing w:after="20"/>
            </w:pPr>
            <w:r>
              <w:rPr>
                <w:sz w:val="16"/>
              </w:rPr>
              <w:t>Human correction rate by field and materiality.</w:t>
            </w:r>
          </w:p>
        </w:tc>
        <w:tc>
          <w:tcPr>
            <w:tcW w:type="dxa" w:w="3408"/>
            <w:shd w:fill="F4F7FA"/>
          </w:tcPr>
          <w:p>
            <w:pPr>
              <w:spacing w:after="20"/>
            </w:pPr>
            <w:r>
              <w:rPr>
                <w:sz w:val="16"/>
              </w:rPr>
              <w:t>Investigate material correction spike or &gt;5 percentage-point change from baseline.</w:t>
            </w:r>
          </w:p>
        </w:tc>
      </w:tr>
      <w:tr>
        <w:tc>
          <w:tcPr>
            <w:tcW w:type="dxa" w:w="3408"/>
          </w:tcPr>
          <w:p>
            <w:pPr>
              <w:spacing w:after="20"/>
            </w:pPr>
            <w:r>
              <w:rPr>
                <w:sz w:val="16"/>
              </w:rPr>
              <w:t>Evidence-state accuracy</w:t>
            </w:r>
          </w:p>
        </w:tc>
        <w:tc>
          <w:tcPr>
            <w:tcW w:type="dxa" w:w="3408"/>
          </w:tcPr>
          <w:p>
            <w:pPr>
              <w:spacing w:after="20"/>
            </w:pPr>
            <w:r>
              <w:rPr>
                <w:sz w:val="16"/>
              </w:rPr>
              <w:t>False “verified” or understated evidence limitations.</w:t>
            </w:r>
          </w:p>
        </w:tc>
        <w:tc>
          <w:tcPr>
            <w:tcW w:type="dxa" w:w="3408"/>
          </w:tcPr>
          <w:p>
            <w:pPr>
              <w:spacing w:after="20"/>
            </w:pPr>
            <w:r>
              <w:rPr>
                <w:sz w:val="16"/>
              </w:rPr>
              <w:t>Zero tolerance for fabricated verification; immediate defect review.</w:t>
            </w:r>
          </w:p>
        </w:tc>
      </w:tr>
      <w:tr>
        <w:tc>
          <w:tcPr>
            <w:tcW w:type="dxa" w:w="3408"/>
            <w:shd w:fill="F4F7FA"/>
          </w:tcPr>
          <w:p>
            <w:pPr>
              <w:spacing w:after="20"/>
            </w:pPr>
            <w:r>
              <w:rPr>
                <w:sz w:val="16"/>
              </w:rPr>
              <w:t>Guardrail compliance</w:t>
            </w:r>
          </w:p>
        </w:tc>
        <w:tc>
          <w:tcPr>
            <w:tcW w:type="dxa" w:w="3408"/>
            <w:shd w:fill="F4F7FA"/>
          </w:tcPr>
          <w:p>
            <w:pPr>
              <w:spacing w:after="20"/>
            </w:pPr>
            <w:r>
              <w:rPr>
                <w:sz w:val="16"/>
              </w:rPr>
              <w:t>Attempts to score, approve, alter result, or populate Gate 3 decision.</w:t>
            </w:r>
          </w:p>
        </w:tc>
        <w:tc>
          <w:tcPr>
            <w:tcW w:type="dxa" w:w="3408"/>
            <w:shd w:fill="F4F7FA"/>
          </w:tcPr>
          <w:p>
            <w:pPr>
              <w:spacing w:after="20"/>
            </w:pPr>
            <w:r>
              <w:rPr>
                <w:sz w:val="16"/>
              </w:rPr>
              <w:t>Any occurrence = Sev 1/2 depending on side effect.</w:t>
            </w:r>
          </w:p>
        </w:tc>
      </w:tr>
      <w:tr>
        <w:tc>
          <w:tcPr>
            <w:tcW w:type="dxa" w:w="3408"/>
          </w:tcPr>
          <w:p>
            <w:pPr>
              <w:spacing w:after="20"/>
            </w:pPr>
            <w:r>
              <w:rPr>
                <w:sz w:val="16"/>
              </w:rPr>
              <w:t>Memo fidelity</w:t>
            </w:r>
          </w:p>
        </w:tc>
        <w:tc>
          <w:tcPr>
            <w:tcW w:type="dxa" w:w="3408"/>
          </w:tcPr>
          <w:p>
            <w:pPr>
              <w:spacing w:after="20"/>
            </w:pPr>
            <w:r>
              <w:rPr>
                <w:sz w:val="16"/>
              </w:rPr>
              <w:t>Exact score/band/version/decision consistency and required sections.</w:t>
            </w:r>
          </w:p>
        </w:tc>
        <w:tc>
          <w:tcPr>
            <w:tcW w:type="dxa" w:w="3408"/>
          </w:tcPr>
          <w:p>
            <w:pPr>
              <w:spacing w:after="20"/>
            </w:pPr>
            <w:r>
              <w:rPr>
                <w:sz w:val="16"/>
              </w:rPr>
              <w:t>100% exact-copy fields; deterministic pre-release check.</w:t>
            </w:r>
          </w:p>
        </w:tc>
      </w:tr>
      <w:tr>
        <w:tc>
          <w:tcPr>
            <w:tcW w:type="dxa" w:w="3408"/>
            <w:shd w:fill="F4F7FA"/>
          </w:tcPr>
          <w:p>
            <w:pPr>
              <w:spacing w:after="20"/>
            </w:pPr>
            <w:r>
              <w:rPr>
                <w:sz w:val="16"/>
              </w:rPr>
              <w:t>Refusal quality</w:t>
            </w:r>
          </w:p>
        </w:tc>
        <w:tc>
          <w:tcPr>
            <w:tcW w:type="dxa" w:w="3408"/>
            <w:shd w:fill="F4F7FA"/>
          </w:tcPr>
          <w:p>
            <w:pPr>
              <w:spacing w:after="20"/>
            </w:pPr>
            <w:r>
              <w:rPr>
                <w:sz w:val="16"/>
              </w:rPr>
              <w:t>Correct refusal on missing, duplicate, conflicting, stale, or permission-denied input.</w:t>
            </w:r>
          </w:p>
        </w:tc>
        <w:tc>
          <w:tcPr>
            <w:tcW w:type="dxa" w:w="3408"/>
            <w:shd w:fill="F4F7FA"/>
          </w:tcPr>
          <w:p>
            <w:pPr>
              <w:spacing w:after="20"/>
            </w:pPr>
            <w:r>
              <w:rPr>
                <w:sz w:val="16"/>
              </w:rPr>
              <w:t>Regression suite on every release.</w:t>
            </w:r>
          </w:p>
        </w:tc>
      </w:tr>
      <w:tr>
        <w:tc>
          <w:tcPr>
            <w:tcW w:type="dxa" w:w="3408"/>
          </w:tcPr>
          <w:p>
            <w:pPr>
              <w:spacing w:after="20"/>
            </w:pPr>
            <w:r>
              <w:rPr>
                <w:sz w:val="16"/>
              </w:rPr>
              <w:t>Prompt injection resistance</w:t>
            </w:r>
          </w:p>
        </w:tc>
        <w:tc>
          <w:tcPr>
            <w:tcW w:type="dxa" w:w="3408"/>
          </w:tcPr>
          <w:p>
            <w:pPr>
              <w:spacing w:after="20"/>
            </w:pPr>
            <w:r>
              <w:rPr>
                <w:sz w:val="16"/>
              </w:rPr>
              <w:t>Malicious instructions in documents or retrieved text.</w:t>
            </w:r>
          </w:p>
        </w:tc>
        <w:tc>
          <w:tcPr>
            <w:tcW w:type="dxa" w:w="3408"/>
          </w:tcPr>
          <w:p>
            <w:pPr>
              <w:spacing w:after="20"/>
            </w:pPr>
            <w:r>
              <w:rPr>
                <w:sz w:val="16"/>
              </w:rPr>
              <w:t>No unauthorized tool/action; quarantine and security review.</w:t>
            </w:r>
          </w:p>
        </w:tc>
      </w:tr>
      <w:tr>
        <w:tc>
          <w:tcPr>
            <w:tcW w:type="dxa" w:w="3408"/>
            <w:shd w:fill="F4F7FA"/>
          </w:tcPr>
          <w:p>
            <w:pPr>
              <w:spacing w:after="20"/>
            </w:pPr>
            <w:r>
              <w:rPr>
                <w:sz w:val="16"/>
              </w:rPr>
              <w:t>Drift</w:t>
            </w:r>
          </w:p>
        </w:tc>
        <w:tc>
          <w:tcPr>
            <w:tcW w:type="dxa" w:w="3408"/>
            <w:shd w:fill="F4F7FA"/>
          </w:tcPr>
          <w:p>
            <w:pPr>
              <w:spacing w:after="20"/>
            </w:pPr>
            <w:r>
              <w:rPr>
                <w:sz w:val="16"/>
              </w:rPr>
              <w:t>Golden-set score against approved baseline by prompt/model/version.</w:t>
            </w:r>
          </w:p>
        </w:tc>
        <w:tc>
          <w:tcPr>
            <w:tcW w:type="dxa" w:w="3408"/>
            <w:shd w:fill="F4F7FA"/>
          </w:tcPr>
          <w:p>
            <w:pPr>
              <w:spacing w:after="20"/>
            </w:pPr>
            <w:r>
              <w:rPr>
                <w:sz w:val="16"/>
              </w:rPr>
              <w:t>No production promotion below approved threshold; rollback on significant regression.</w:t>
            </w:r>
          </w:p>
        </w:tc>
      </w:tr>
    </w:tbl>
    <w:p/>
    <w:p>
      <w:pPr>
        <w:pStyle w:val="Heading1"/>
      </w:pPr>
      <w:r>
        <w:t>9. Continuous improvement loop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F5F"/>
          </w:tcPr>
          <w:p>
            <w:r>
              <w:rPr>
                <w:b/>
                <w:color w:val="FFFFFF"/>
                <w:sz w:val="16"/>
              </w:rPr>
              <w:t>Cadence</w:t>
            </w:r>
          </w:p>
        </w:tc>
        <w:tc>
          <w:tcPr>
            <w:tcW w:type="dxa" w:w="2556"/>
            <w:shd w:fill="173F5F"/>
          </w:tcPr>
          <w:p>
            <w:r>
              <w:rPr>
                <w:b/>
                <w:color w:val="FFFFFF"/>
                <w:sz w:val="16"/>
              </w:rPr>
              <w:t>Forum</w:t>
            </w:r>
          </w:p>
        </w:tc>
        <w:tc>
          <w:tcPr>
            <w:tcW w:type="dxa" w:w="2556"/>
            <w:shd w:fill="173F5F"/>
          </w:tcPr>
          <w:p>
            <w:r>
              <w:rPr>
                <w:b/>
                <w:color w:val="FFFFFF"/>
                <w:sz w:val="16"/>
              </w:rPr>
              <w:t>Inputs</w:t>
            </w:r>
          </w:p>
        </w:tc>
        <w:tc>
          <w:tcPr>
            <w:tcW w:type="dxa" w:w="2556"/>
            <w:shd w:fill="173F5F"/>
          </w:tcPr>
          <w:p>
            <w:r>
              <w:rPr>
                <w:b/>
                <w:color w:val="FFFFFF"/>
                <w:sz w:val="16"/>
              </w:rPr>
              <w:t>Outputs</w:t>
            </w:r>
          </w:p>
        </w:tc>
      </w:tr>
      <w:tr>
        <w:tc>
          <w:tcPr>
            <w:tcW w:type="dxa" w:w="2556"/>
          </w:tcPr>
          <w:p>
            <w:pPr>
              <w:spacing w:after="20"/>
            </w:pPr>
            <w:r>
              <w:rPr>
                <w:sz w:val="16"/>
              </w:rPr>
              <w:t>Daily during pilot / weekly after stabilization</w:t>
            </w:r>
          </w:p>
        </w:tc>
        <w:tc>
          <w:tcPr>
            <w:tcW w:type="dxa" w:w="2556"/>
          </w:tcPr>
          <w:p>
            <w:pPr>
              <w:spacing w:after="20"/>
            </w:pPr>
            <w:r>
              <w:rPr>
                <w:sz w:val="16"/>
              </w:rPr>
              <w:t>Operations review</w:t>
            </w:r>
          </w:p>
        </w:tc>
        <w:tc>
          <w:tcPr>
            <w:tcW w:type="dxa" w:w="2556"/>
          </w:tcPr>
          <w:p>
            <w:pPr>
              <w:spacing w:after="20"/>
            </w:pPr>
            <w:r>
              <w:rPr>
                <w:sz w:val="16"/>
              </w:rPr>
              <w:t>Incidents, backlog, SLOs, failures, queue health, costs.</w:t>
            </w:r>
          </w:p>
        </w:tc>
        <w:tc>
          <w:tcPr>
            <w:tcW w:type="dxa" w:w="2556"/>
          </w:tcPr>
          <w:p>
            <w:pPr>
              <w:spacing w:after="20"/>
            </w:pPr>
            <w:r>
              <w:rPr>
                <w:sz w:val="16"/>
              </w:rPr>
              <w:t>Immediate actions and owner assignments.</w:t>
            </w:r>
          </w:p>
        </w:tc>
      </w:tr>
      <w:tr>
        <w:tc>
          <w:tcPr>
            <w:tcW w:type="dxa" w:w="2556"/>
            <w:shd w:fill="F4F7FA"/>
          </w:tcPr>
          <w:p>
            <w:pPr>
              <w:spacing w:after="20"/>
            </w:pPr>
            <w:r>
              <w:rPr>
                <w:sz w:val="16"/>
              </w:rPr>
              <w:t>Biweekly</w:t>
            </w:r>
          </w:p>
        </w:tc>
        <w:tc>
          <w:tcPr>
            <w:tcW w:type="dxa" w:w="2556"/>
            <w:shd w:fill="F4F7FA"/>
          </w:tcPr>
          <w:p>
            <w:pPr>
              <w:spacing w:after="20"/>
            </w:pPr>
            <w:r>
              <w:rPr>
                <w:sz w:val="16"/>
              </w:rPr>
              <w:t>Product and QA quality review</w:t>
            </w:r>
          </w:p>
        </w:tc>
        <w:tc>
          <w:tcPr>
            <w:tcW w:type="dxa" w:w="2556"/>
            <w:shd w:fill="F4F7FA"/>
          </w:tcPr>
          <w:p>
            <w:pPr>
              <w:spacing w:after="20"/>
            </w:pPr>
            <w:r>
              <w:rPr>
                <w:sz w:val="16"/>
              </w:rPr>
              <w:t>User feedback, corrections, Agent evals, rejected cases, usability.</w:t>
            </w:r>
          </w:p>
        </w:tc>
        <w:tc>
          <w:tcPr>
            <w:tcW w:type="dxa" w:w="2556"/>
            <w:shd w:fill="F4F7FA"/>
          </w:tcPr>
          <w:p>
            <w:pPr>
              <w:spacing w:after="20"/>
            </w:pPr>
            <w:r>
              <w:rPr>
                <w:sz w:val="16"/>
              </w:rPr>
              <w:t>Prioritized backlog and experiment proposals.</w:t>
            </w:r>
          </w:p>
        </w:tc>
      </w:tr>
      <w:tr>
        <w:tc>
          <w:tcPr>
            <w:tcW w:type="dxa" w:w="2556"/>
          </w:tcPr>
          <w:p>
            <w:pPr>
              <w:spacing w:after="20"/>
            </w:pPr>
            <w:r>
              <w:rPr>
                <w:sz w:val="16"/>
              </w:rPr>
              <w:t>Monthly</w:t>
            </w:r>
          </w:p>
        </w:tc>
        <w:tc>
          <w:tcPr>
            <w:tcW w:type="dxa" w:w="2556"/>
          </w:tcPr>
          <w:p>
            <w:pPr>
              <w:spacing w:after="20"/>
            </w:pPr>
            <w:r>
              <w:rPr>
                <w:sz w:val="16"/>
              </w:rPr>
              <w:t>Model and control review</w:t>
            </w:r>
          </w:p>
        </w:tc>
        <w:tc>
          <w:tcPr>
            <w:tcW w:type="dxa" w:w="2556"/>
          </w:tcPr>
          <w:p>
            <w:pPr>
              <w:spacing w:after="20"/>
            </w:pPr>
            <w:r>
              <w:rPr>
                <w:sz w:val="16"/>
              </w:rPr>
              <w:t>Override/remand trends, distributions, drift, source changes, compliance advisories.</w:t>
            </w:r>
          </w:p>
        </w:tc>
        <w:tc>
          <w:tcPr>
            <w:tcW w:type="dxa" w:w="2556"/>
          </w:tcPr>
          <w:p>
            <w:pPr>
              <w:spacing w:after="20"/>
            </w:pPr>
            <w:r>
              <w:rPr>
                <w:sz w:val="16"/>
              </w:rPr>
              <w:t>Approved config/prompt changes or no-change decision.</w:t>
            </w:r>
          </w:p>
        </w:tc>
      </w:tr>
      <w:tr>
        <w:tc>
          <w:tcPr>
            <w:tcW w:type="dxa" w:w="2556"/>
            <w:shd w:fill="F4F7FA"/>
          </w:tcPr>
          <w:p>
            <w:pPr>
              <w:spacing w:after="20"/>
            </w:pPr>
            <w:r>
              <w:rPr>
                <w:sz w:val="16"/>
              </w:rPr>
              <w:t>Quarterly</w:t>
            </w:r>
          </w:p>
        </w:tc>
        <w:tc>
          <w:tcPr>
            <w:tcW w:type="dxa" w:w="2556"/>
            <w:shd w:fill="F4F7FA"/>
          </w:tcPr>
          <w:p>
            <w:pPr>
              <w:spacing w:after="20"/>
            </w:pPr>
            <w:r>
              <w:rPr>
                <w:sz w:val="16"/>
              </w:rPr>
              <w:t>Architecture and platform review</w:t>
            </w:r>
          </w:p>
        </w:tc>
        <w:tc>
          <w:tcPr>
            <w:tcW w:type="dxa" w:w="2556"/>
            <w:shd w:fill="F4F7FA"/>
          </w:tcPr>
          <w:p>
            <w:pPr>
              <w:spacing w:after="20"/>
            </w:pPr>
            <w:r>
              <w:rPr>
                <w:sz w:val="16"/>
              </w:rPr>
              <w:t>Capacity, reliability, security posture, licensing, integration debt, Well-Architected assessment.</w:t>
            </w:r>
          </w:p>
        </w:tc>
        <w:tc>
          <w:tcPr>
            <w:tcW w:type="dxa" w:w="2556"/>
            <w:shd w:fill="F4F7FA"/>
          </w:tcPr>
          <w:p>
            <w:pPr>
              <w:spacing w:after="20"/>
            </w:pPr>
            <w:r>
              <w:rPr>
                <w:sz w:val="16"/>
              </w:rPr>
              <w:t>Roadmap and risk treatment plan.</w:t>
            </w:r>
          </w:p>
        </w:tc>
      </w:tr>
      <w:tr>
        <w:tc>
          <w:tcPr>
            <w:tcW w:type="dxa" w:w="2556"/>
          </w:tcPr>
          <w:p>
            <w:pPr>
              <w:spacing w:after="20"/>
            </w:pPr>
            <w:r>
              <w:rPr>
                <w:sz w:val="16"/>
              </w:rPr>
              <w:t>At least annually or material regulatory change</w:t>
            </w:r>
          </w:p>
        </w:tc>
        <w:tc>
          <w:tcPr>
            <w:tcW w:type="dxa" w:w="2556"/>
          </w:tcPr>
          <w:p>
            <w:pPr>
              <w:spacing w:after="20"/>
            </w:pPr>
            <w:r>
              <w:rPr>
                <w:sz w:val="16"/>
              </w:rPr>
              <w:t>Policy and legal review</w:t>
            </w:r>
          </w:p>
        </w:tc>
        <w:tc>
          <w:tcPr>
            <w:tcW w:type="dxa" w:w="2556"/>
          </w:tcPr>
          <w:p>
            <w:pPr>
              <w:spacing w:after="20"/>
            </w:pPr>
            <w:r>
              <w:rPr>
                <w:sz w:val="16"/>
              </w:rPr>
              <w:t>31 CFR/FATF/FFIEC/Wolfsberg/source updates and internal policy.</w:t>
            </w:r>
          </w:p>
        </w:tc>
        <w:tc>
          <w:tcPr>
            <w:tcW w:type="dxa" w:w="2556"/>
          </w:tcPr>
          <w:p>
            <w:pPr>
              <w:spacing w:after="20"/>
            </w:pPr>
            <w:r>
              <w:rPr>
                <w:sz w:val="16"/>
              </w:rPr>
              <w:t>Versioned requirements, mappings, controls, training, and revalidation.</w:t>
            </w:r>
          </w:p>
        </w:tc>
      </w:tr>
    </w:tbl>
    <w:p/>
    <w:p>
      <w:r>
        <w:t>Improvement workflow: Observe -&gt; quantify -&gt; classify root cause -&gt; design smallest change -&gt; update requirement and risk -&gt; test against golden/negative/security sets -&gt; obtain owner approval -&gt; deploy progressively -&gt; compare before/after -&gt; retain evidence -&gt; retire superseded versions.</w:t>
      </w:r>
    </w:p>
    <w:p>
      <w:pPr>
        <w:pStyle w:val="Heading1"/>
      </w:pPr>
      <w:r>
        <w:t>10. Token and cost operations</w:t>
      </w:r>
    </w:p>
    <w:tbl>
      <w:tblPr>
        <w:tblStyle w:val="TableGrid"/>
        <w:tblW w:type="auto" w:w="0"/>
        <w:jc w:val="center"/>
        <w:tblLook w:firstColumn="1" w:firstRow="1" w:lastColumn="0" w:lastRow="0" w:noHBand="0" w:noVBand="1" w:val="04A0"/>
      </w:tblPr>
      <w:tblGrid>
        <w:gridCol w:w="5112"/>
        <w:gridCol w:w="5112"/>
      </w:tblGrid>
      <w:tr>
        <w:tc>
          <w:tcPr>
            <w:tcW w:type="dxa" w:w="5112"/>
            <w:shd w:fill="173F5F"/>
          </w:tcPr>
          <w:p>
            <w:r>
              <w:rPr>
                <w:b/>
                <w:color w:val="FFFFFF"/>
                <w:sz w:val="16"/>
              </w:rPr>
              <w:t>Control</w:t>
            </w:r>
          </w:p>
        </w:tc>
        <w:tc>
          <w:tcPr>
            <w:tcW w:type="dxa" w:w="5112"/>
            <w:shd w:fill="173F5F"/>
          </w:tcPr>
          <w:p>
            <w:r>
              <w:rPr>
                <w:b/>
                <w:color w:val="FFFFFF"/>
                <w:sz w:val="16"/>
              </w:rPr>
              <w:t>Operational implementation</w:t>
            </w:r>
          </w:p>
        </w:tc>
      </w:tr>
      <w:tr>
        <w:tc>
          <w:tcPr>
            <w:tcW w:type="dxa" w:w="5112"/>
          </w:tcPr>
          <w:p>
            <w:pPr>
              <w:spacing w:after="20"/>
            </w:pPr>
            <w:r>
              <w:rPr>
                <w:sz w:val="16"/>
              </w:rPr>
              <w:t>Per-stage budget</w:t>
            </w:r>
          </w:p>
        </w:tc>
        <w:tc>
          <w:tcPr>
            <w:tcW w:type="dxa" w:w="5112"/>
          </w:tcPr>
          <w:p>
            <w:pPr>
              <w:spacing w:after="20"/>
            </w:pPr>
            <w:r>
              <w:rPr>
                <w:sz w:val="16"/>
              </w:rPr>
              <w:t>Budget input/output messages or tokens for Intake, reconciliation, and Memo stages; alert before ceiling.</w:t>
            </w:r>
          </w:p>
        </w:tc>
      </w:tr>
      <w:tr>
        <w:tc>
          <w:tcPr>
            <w:tcW w:type="dxa" w:w="5112"/>
            <w:shd w:fill="F4F7FA"/>
          </w:tcPr>
          <w:p>
            <w:pPr>
              <w:spacing w:after="20"/>
            </w:pPr>
            <w:r>
              <w:rPr>
                <w:sz w:val="16"/>
              </w:rPr>
              <w:t>Per-case unit economics</w:t>
            </w:r>
          </w:p>
        </w:tc>
        <w:tc>
          <w:tcPr>
            <w:tcW w:type="dxa" w:w="5112"/>
            <w:shd w:fill="F4F7FA"/>
          </w:tcPr>
          <w:p>
            <w:pPr>
              <w:spacing w:after="20"/>
            </w:pPr>
            <w:r>
              <w:rPr>
                <w:sz w:val="16"/>
              </w:rPr>
              <w:t>Track Agent consumption, flow runs, compute, storage, and support effort per completed case and per remanded case.</w:t>
            </w:r>
          </w:p>
        </w:tc>
      </w:tr>
      <w:tr>
        <w:tc>
          <w:tcPr>
            <w:tcW w:type="dxa" w:w="5112"/>
          </w:tcPr>
          <w:p>
            <w:pPr>
              <w:spacing w:after="20"/>
            </w:pPr>
            <w:r>
              <w:rPr>
                <w:sz w:val="16"/>
              </w:rPr>
              <w:t>Duplication indicator</w:t>
            </w:r>
          </w:p>
        </w:tc>
        <w:tc>
          <w:tcPr>
            <w:tcW w:type="dxa" w:w="5112"/>
          </w:tcPr>
          <w:p>
            <w:pPr>
              <w:spacing w:after="20"/>
            </w:pPr>
            <w:r>
              <w:rPr>
                <w:sz w:val="16"/>
              </w:rPr>
              <w:t>Measure repeated source bytes/tokens and repeated generated sections; target deterministic rendering.</w:t>
            </w:r>
          </w:p>
        </w:tc>
      </w:tr>
      <w:tr>
        <w:tc>
          <w:tcPr>
            <w:tcW w:type="dxa" w:w="5112"/>
            <w:shd w:fill="F4F7FA"/>
          </w:tcPr>
          <w:p>
            <w:pPr>
              <w:spacing w:after="20"/>
            </w:pPr>
            <w:r>
              <w:rPr>
                <w:sz w:val="16"/>
              </w:rPr>
              <w:t>Retry governance</w:t>
            </w:r>
          </w:p>
        </w:tc>
        <w:tc>
          <w:tcPr>
            <w:tcW w:type="dxa" w:w="5112"/>
            <w:shd w:fill="F4F7FA"/>
          </w:tcPr>
          <w:p>
            <w:pPr>
              <w:spacing w:after="20"/>
            </w:pPr>
            <w:r>
              <w:rPr>
                <w:sz w:val="16"/>
              </w:rPr>
              <w:t>Differentiate transient technical retries from data/policy refusals; cap automated retries.</w:t>
            </w:r>
          </w:p>
        </w:tc>
      </w:tr>
      <w:tr>
        <w:tc>
          <w:tcPr>
            <w:tcW w:type="dxa" w:w="5112"/>
          </w:tcPr>
          <w:p>
            <w:pPr>
              <w:spacing w:after="20"/>
            </w:pPr>
            <w:r>
              <w:rPr>
                <w:sz w:val="16"/>
              </w:rPr>
              <w:t>Model routing review</w:t>
            </w:r>
          </w:p>
        </w:tc>
        <w:tc>
          <w:tcPr>
            <w:tcW w:type="dxa" w:w="5112"/>
          </w:tcPr>
          <w:p>
            <w:pPr>
              <w:spacing w:after="20"/>
            </w:pPr>
            <w:r>
              <w:rPr>
                <w:sz w:val="16"/>
              </w:rPr>
              <w:t>Compare quality, latency, and cost by approved model and prompt version before switching.</w:t>
            </w:r>
          </w:p>
        </w:tc>
      </w:tr>
      <w:tr>
        <w:tc>
          <w:tcPr>
            <w:tcW w:type="dxa" w:w="5112"/>
            <w:shd w:fill="F4F7FA"/>
          </w:tcPr>
          <w:p>
            <w:pPr>
              <w:spacing w:after="20"/>
            </w:pPr>
            <w:r>
              <w:rPr>
                <w:sz w:val="16"/>
              </w:rPr>
              <w:t>FinOps anomaly response</w:t>
            </w:r>
          </w:p>
        </w:tc>
        <w:tc>
          <w:tcPr>
            <w:tcW w:type="dxa" w:w="5112"/>
            <w:shd w:fill="F4F7FA"/>
          </w:tcPr>
          <w:p>
            <w:pPr>
              <w:spacing w:after="20"/>
            </w:pPr>
            <w:r>
              <w:rPr>
                <w:sz w:val="16"/>
              </w:rPr>
              <w:t>Investigate volume, loops, prompt expansion, retrieval growth, model change, or telemetry explosion.</w:t>
            </w:r>
          </w:p>
        </w:tc>
      </w:tr>
      <w:tr>
        <w:tc>
          <w:tcPr>
            <w:tcW w:type="dxa" w:w="5112"/>
          </w:tcPr>
          <w:p>
            <w:pPr>
              <w:spacing w:after="20"/>
            </w:pPr>
            <w:r>
              <w:rPr>
                <w:sz w:val="16"/>
              </w:rPr>
              <w:t>Optimization acceptance</w:t>
            </w:r>
          </w:p>
        </w:tc>
        <w:tc>
          <w:tcPr>
            <w:tcW w:type="dxa" w:w="5112"/>
          </w:tcPr>
          <w:p>
            <w:pPr>
              <w:spacing w:after="20"/>
            </w:pPr>
            <w:r>
              <w:rPr>
                <w:sz w:val="16"/>
              </w:rPr>
              <w:t>Savings count only if quality, evidence, and guardrail thresholds remain met.</w:t>
            </w:r>
          </w:p>
        </w:tc>
      </w:tr>
    </w:tbl>
    <w:p/>
    <w:p>
      <w:pPr>
        <w:pStyle w:val="Heading1"/>
      </w:pPr>
      <w:r>
        <w:t>11. Change, release, and configuration management</w:t>
      </w:r>
    </w:p>
    <w:p>
      <w:pPr>
        <w:pStyle w:val="ListBullet"/>
      </w:pPr>
      <w:r>
        <w:t>Every release has a change record linking requirements, code/solution/prompt/config versions, test results, approvals, deployment, smoke tests, and rollback.</w:t>
      </w:r>
    </w:p>
    <w:p>
      <w:pPr>
        <w:pStyle w:val="ListBullet"/>
      </w:pPr>
      <w:r>
        <w:t>Mappings, weights, bands, multipliers, hard exclusions, and floor are governed configuration. Production values are immutable within a run and promoted only with Model Owner approval.</w:t>
      </w:r>
    </w:p>
    <w:p>
      <w:pPr>
        <w:pStyle w:val="ListBullet"/>
      </w:pPr>
      <w:r>
        <w:t>Prompt or model changes are treated as behavioral code changes and require golden-set, negative, security, and regression evaluation.</w:t>
      </w:r>
    </w:p>
    <w:p>
      <w:pPr>
        <w:pStyle w:val="ListBullet"/>
      </w:pPr>
      <w:r>
        <w:t>Use progressive exposure: test -&gt; UAT -&gt; shadow -&gt; limited production -&gt; broader release. Compare quality, latency, cost, and incident rates before expansion.</w:t>
      </w:r>
    </w:p>
    <w:p>
      <w:pPr>
        <w:pStyle w:val="ListBullet"/>
      </w:pPr>
      <w:r>
        <w:t>Emergency changes require time-boxed approval, rollback, retrospective review, and completion of missing evidence afterward.</w:t>
      </w:r>
    </w:p>
    <w:p>
      <w:pPr>
        <w:pStyle w:val="Heading1"/>
      </w:pPr>
      <w:r>
        <w:t>12. Runbooks required before go-live</w:t>
      </w:r>
    </w:p>
    <w:p>
      <w:pPr>
        <w:pStyle w:val="ListBullet"/>
      </w:pPr>
      <w:r>
        <w:t>Start/stop/pause each trigger and Agent safely.</w:t>
      </w:r>
    </w:p>
    <w:p>
      <w:pPr>
        <w:pStyle w:val="ListBullet"/>
      </w:pPr>
      <w:r>
        <w:t>Replay a failed case without duplicate decisions or notifications.</w:t>
      </w:r>
    </w:p>
    <w:p>
      <w:pPr>
        <w:pStyle w:val="ListBullet"/>
      </w:pPr>
      <w:r>
        <w:t>Recover from queue dead-letter, connector throttling, expired certificate, permission failure, and Dataverse capacity limit.</w:t>
      </w:r>
    </w:p>
    <w:p>
      <w:pPr>
        <w:pStyle w:val="ListBullet"/>
      </w:pPr>
      <w:r>
        <w:t>Rollback Power Platform solution, Agent version, deterministic API and configuration set.</w:t>
      </w:r>
    </w:p>
    <w:p>
      <w:pPr>
        <w:pStyle w:val="ListBullet"/>
      </w:pPr>
      <w:r>
        <w:t>Correct a source fact while preserving original value and supersession history.</w:t>
      </w:r>
    </w:p>
    <w:p>
      <w:pPr>
        <w:pStyle w:val="ListBullet"/>
      </w:pPr>
      <w:r>
        <w:t>Handle suspected wrong score, unauthorized decision, prompt injection, data leak, or malicious document.</w:t>
      </w:r>
    </w:p>
    <w:p>
      <w:pPr>
        <w:pStyle w:val="ListBullet"/>
      </w:pPr>
      <w:r>
        <w:t>Operate manual fallback and reconcile manual outcomes back into the system.</w:t>
      </w:r>
    </w:p>
    <w:p>
      <w:pPr>
        <w:pStyle w:val="ListBullet"/>
      </w:pPr>
      <w:r>
        <w:t>Restore backup, validate integrity, and prove RTO/RPO.</w:t>
      </w:r>
    </w:p>
    <w:p>
      <w:pPr>
        <w:pStyle w:val="ListBullet"/>
      </w:pPr>
      <w:r>
        <w:t>Extract an audit package for a sampled case.</w:t>
      </w:r>
    </w:p>
    <w:p>
      <w:pPr>
        <w:pStyle w:val="ListBullet"/>
      </w:pPr>
      <w:r>
        <w:t>Rotate secrets/keys and verify all dependencies.</w:t>
      </w:r>
    </w:p>
    <w:p>
      <w:pPr>
        <w:pStyle w:val="Heading1"/>
      </w:pPr>
      <w:r>
        <w:t>13. Operational readiness acceptance criteria</w:t>
      </w:r>
    </w:p>
    <w:p>
      <w:pPr>
        <w:pStyle w:val="ListBullet"/>
      </w:pPr>
      <w:r>
        <w:t>Named support ownership and on-call/escalation contacts are published.</w:t>
      </w:r>
    </w:p>
    <w:p>
      <w:pPr>
        <w:pStyle w:val="ListBullet"/>
      </w:pPr>
      <w:r>
        <w:t>Dashboards and synthetic probes cover every critical stage and fail-closed invariant.</w:t>
      </w:r>
    </w:p>
    <w:p>
      <w:pPr>
        <w:pStyle w:val="ListBullet"/>
      </w:pPr>
      <w:r>
        <w:t>Alerts create actionable incidents without exposing sensitive payloads.</w:t>
      </w:r>
    </w:p>
    <w:p>
      <w:pPr>
        <w:pStyle w:val="ListBullet"/>
      </w:pPr>
      <w:r>
        <w:t>Incident, recovery, rollback, replay, manual fallback, and audit-extraction runbooks are exercised.</w:t>
      </w:r>
    </w:p>
    <w:p>
      <w:pPr>
        <w:pStyle w:val="ListBullet"/>
      </w:pPr>
      <w:r>
        <w:t>Golden-set Agent quality, deterministic regression, security, performance, DR, and UAT evidence meet approved thresholds.</w:t>
      </w:r>
    </w:p>
    <w:p>
      <w:pPr>
        <w:pStyle w:val="ListBullet"/>
      </w:pPr>
      <w:r>
        <w:t>Token/cost budgets and capacity headroom are approved.</w:t>
      </w:r>
    </w:p>
    <w:p>
      <w:pPr>
        <w:pStyle w:val="ListBullet"/>
      </w:pPr>
      <w:r>
        <w:t>Production support can reconstruct a case from source through final decision using correlation IDs and versions.</w:t>
      </w:r>
    </w:p>
    <w:p>
      <w:pPr>
        <w:pStyle w:val="ListBullet"/>
      </w:pPr>
      <w:r>
        <w:t>Continuous-improvement forums, owners, cadence, and change authority are established.</w:t>
      </w:r>
    </w:p>
    <w:p>
      <w:pPr>
        <w:pStyle w:val="Heading1"/>
      </w:pPr>
      <w:r>
        <w:t>14. Microsoft platform notes</w:t>
      </w:r>
    </w:p>
    <w:p>
      <w:r>
        <w:t>Copilot Studio Monitor provides Agent performance and usage analytics. Microsoft documentation notes that Monitor data can be available for up to 360 days, while session details and transcript information are available for the last 28 days; Dataverse transcript retention is separate. The production design must therefore define its own retention and export strategy rather than assuming the Monitor UI is the audit archive. Power Platform Well-Architected emphasizes operational excellence through holistic observability and automated systems, while Power Platform ALM guidance supports environment strategy, managed solutions, pipelines, Azure DevOps/GitHub automation, and team development.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Recommended target state | Not yet deployed | 27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B76"/>
        <w:sz w:val="16"/>
      </w:rPr>
      <w:t>CORRESPONDENT GATE | OPERATIONS, MONITORING AND CONTINUOUS IMPROVEMENT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F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7A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338C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Correspondent Gate - Operations Monitoring and Continuous Improvement Plan</dc:title>
  <dc:subject/>
  <dc:creator>Raymund Esponilla</dc:creator>
  <keywords/>
  <dc:description>generated by python-docx</dc:description>
  <lastModifiedBy>Raymund Esponilla</lastModifiedBy>
  <revision>1</revision>
  <dcterms:created xsi:type="dcterms:W3CDTF">2026-10-26T22:06:21.1463823Z</dcterms:created>
  <dcterms:modified xsi:type="dcterms:W3CDTF">2026-10-26T22:06:21.1463823Z</dcterms:modified>
  <category/>
</coreProperties>
</file>