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078A0"/>
          <w:sz w:val="28"/>
        </w:rPr>
        <w:t>CORRESPONDENT GATE</w:t>
      </w:r>
    </w:p>
    <w:p>
      <w:pPr>
        <w:pStyle w:val="Title"/>
        <w:jc w:val="center"/>
      </w:pPr>
      <w:r>
        <w:t>Relationship Scoping Field Dictionary</w:t>
      </w:r>
    </w:p>
    <w:p>
      <w:pPr>
        <w:jc w:val="center"/>
      </w:pPr>
      <w:r>
        <w:rPr>
          <w:color w:val="17365D"/>
          <w:sz w:val="22"/>
        </w:rPr>
        <w:t>Authoritative extraction instructions for the Provider Institution scoping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Metadata</w:t>
            </w:r>
          </w:p>
        </w:tc>
        <w:tc>
          <w:tcPr>
            <w:tcW w:type="dxa" w:w="684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RELATIONSHIP_SCOPING_FIELD_DICTIONARY</w:t>
            </w:r>
          </w:p>
        </w:tc>
      </w:tr>
      <w:tr>
        <w:tc>
          <w:tcPr>
            <w:tcW w:type="dxa" w:w="27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68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1.0.0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Authoritative workbook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Completed standalone Relationship Scoping Form</w:t>
            </w:r>
          </w:p>
        </w:tc>
      </w:tr>
      <w:tr>
        <w:tc>
          <w:tcPr>
            <w:tcW w:type="dxa" w:w="27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Authoritative sheet</w:t>
            </w:r>
          </w:p>
        </w:tc>
        <w:tc>
          <w:tcPr>
            <w:tcW w:type="dxa" w:w="68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Scoping form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Source party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PROVIDER_INSTITUTION</w:t>
            </w:r>
          </w:p>
        </w:tc>
      </w:tr>
      <w:tr>
        <w:tc>
          <w:tcPr>
            <w:tcW w:type="dxa" w:w="27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Primary owner</w:t>
            </w:r>
          </w:p>
        </w:tc>
        <w:tc>
          <w:tcPr>
            <w:tcW w:type="dxa" w:w="68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Provider Institution Relationship Manager, with internal control contributors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Primary consumer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CG EXT - Source Extractor</w:t>
            </w:r>
          </w:p>
        </w:tc>
      </w:tr>
      <w:tr>
        <w:tc>
          <w:tcPr>
            <w:tcW w:type="dxa" w:w="27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Review trigger</w:t>
            </w:r>
          </w:p>
        </w:tc>
        <w:tc>
          <w:tcPr>
            <w:tcW w:type="dxa" w:w="68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Any change to field IDs, required status, column layout, or source authority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20"/>
      </w:tblGrid>
      <w:tr>
        <w:tc>
          <w:tcPr>
            <w:tcW w:type="dxa" w:w="5040"/>
            <w:shd w:fill="548235"/>
          </w:tcPr>
          <w:p/>
        </w:tc>
        <w:tc>
          <w:tcPr>
            <w:tcW w:type="dxa" w:w="5040"/>
            <w:shd w:fill="E2F0D9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548235"/>
                <w:sz w:val="20"/>
              </w:rPr>
              <w:t>Purpose</w:t>
            </w:r>
          </w:p>
          <w:p>
            <w:pPr>
              <w:spacing w:after="0"/>
            </w:pPr>
            <w:r>
              <w:t>Defines where the Provider Institution’s proposed-relationship facts, internal screening results, business rationale, oversight decisions, and attestations are stored. The Respondent Institution does not own this form.</w:t>
            </w:r>
          </w:p>
        </w:tc>
      </w:tr>
    </w:tbl>
    <w:p/>
    <w:p>
      <w:pPr>
        <w:pStyle w:val="Heading1"/>
      </w:pPr>
      <w:r>
        <w:t>1. Workbook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88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5544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Extraction rule</w:t>
            </w:r>
          </w:p>
        </w:tc>
      </w:tr>
      <w:tr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Field ID</w:t>
            </w:r>
          </w:p>
        </w:tc>
        <w:tc>
          <w:tcPr>
            <w:tcW w:type="dxa" w:w="55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as question_id or field_id. Preserve the S-prefixed identifier.</w:t>
            </w:r>
          </w:p>
        </w:tc>
      </w:tr>
      <w:tr>
        <w:tc>
          <w:tcPr>
            <w:tcW w:type="dxa" w:w="115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Field description</w:t>
            </w:r>
          </w:p>
        </w:tc>
        <w:tc>
          <w:tcPr>
            <w:tcW w:type="dxa" w:w="5544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to derive field_name and fact statement.</w:t>
            </w:r>
          </w:p>
        </w:tc>
      </w:tr>
      <w:tr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Field type</w:t>
            </w:r>
          </w:p>
        </w:tc>
        <w:tc>
          <w:tcPr>
            <w:tcW w:type="dxa" w:w="55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for normalization.</w:t>
            </w:r>
          </w:p>
        </w:tc>
      </w:tr>
      <w:tr>
        <w:tc>
          <w:tcPr>
            <w:tcW w:type="dxa" w:w="115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answer</w:t>
            </w:r>
          </w:p>
        </w:tc>
        <w:tc>
          <w:tcPr>
            <w:tcW w:type="dxa" w:w="5544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Authoritative answer cell for extraction.</w:t>
            </w:r>
          </w:p>
        </w:tc>
      </w:tr>
      <w:tr>
        <w:tc>
          <w:tcPr>
            <w:tcW w:type="dxa" w:w="11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Required indicator</w:t>
            </w:r>
          </w:p>
        </w:tc>
        <w:tc>
          <w:tcPr>
            <w:tcW w:type="dxa" w:w="55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Use to identify missing required answers.</w:t>
            </w:r>
          </w:p>
        </w:tc>
      </w:tr>
      <w:tr>
        <w:tc>
          <w:tcPr>
            <w:tcW w:type="dxa" w:w="115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Guidance or allowed values</w:t>
            </w:r>
          </w:p>
        </w:tc>
        <w:tc>
          <w:tcPr>
            <w:tcW w:type="dxa" w:w="5544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Never treat as an answer. Use only for validation guidance.</w:t>
            </w:r>
          </w:p>
        </w:tc>
      </w:tr>
    </w:tbl>
    <w:p/>
    <w:p>
      <w:pPr>
        <w:pStyle w:val="Heading1"/>
      </w:pPr>
      <w:r>
        <w:t>2. Source Ownership Rules</w:t>
      </w:r>
    </w:p>
    <w:p>
      <w:pPr>
        <w:pStyle w:val="ListBullet"/>
      </w:pPr>
      <w:r>
        <w:t>The standalone Relationship Scoping Form is authoritative for Provider Institution facts and decisions.</w:t>
      </w:r>
    </w:p>
    <w:p>
      <w:pPr>
        <w:pStyle w:val="ListBullet"/>
      </w:pPr>
      <w:r>
        <w:t>The Provider Institution Relationship Manager coordinates completion, but FCRM, sanctions, operations, product, monitoring, and senior management may own specific answers.</w:t>
      </w:r>
    </w:p>
    <w:p>
      <w:pPr>
        <w:pStyle w:val="ListBullet"/>
      </w:pPr>
      <w:r>
        <w:t>The Respondent Institution may provide estimates, but the Provider Institution records the value and declared basis.</w:t>
      </w:r>
    </w:p>
    <w:p>
      <w:pPr>
        <w:pStyle w:val="ListBullet"/>
      </w:pPr>
      <w:r>
        <w:t>Internal sanctions, adverse-media, Section 311, non-cooperative-jurisdiction, and comprehensive-sanctions determinations must come from the Provider Institution’s controlled process.</w:t>
      </w:r>
    </w:p>
    <w:p>
      <w:pPr>
        <w:pStyle w:val="ListBullet"/>
      </w:pPr>
      <w:r>
        <w:t>When the standalone form is supplied, do not use the embedded CBDDQ Scoping form as a second authority.</w:t>
      </w:r>
    </w:p>
    <w:p>
      <w:pPr>
        <w:pStyle w:val="ListBullet"/>
      </w:pPr>
      <w:r>
        <w:t>Do not infer that the Provider Institution permits an activity merely because the Respondent Institution offers that activity.</w:t>
      </w:r>
    </w:p>
    <w:p>
      <w:pPr>
        <w:pStyle w:val="Heading1"/>
      </w:pPr>
      <w:r>
        <w:t>3. Field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 IDs</w:t>
            </w:r>
          </w:p>
        </w:tc>
        <w:tc>
          <w:tcPr>
            <w:tcW w:type="dxa" w:w="288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504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meaning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S01-S06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Request and ownership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request reference, requester, business line, sponsor, and target date.</w:t>
            </w:r>
          </w:p>
        </w:tc>
      </w:tr>
      <w:tr>
        <w:tc>
          <w:tcPr>
            <w:tcW w:type="dxa" w:w="165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S07-S13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identification</w:t>
            </w:r>
          </w:p>
        </w:tc>
        <w:tc>
          <w:tcPr>
            <w:tcW w:type="dxa" w:w="50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baseline for legal name, country, LEI, parent, regulator, and introduction channel.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S14-S24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Account and service scope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Proposed purpose, account type, currencies, offered services, nesting, payable-through, and direct access.</w:t>
            </w:r>
          </w:p>
        </w:tc>
      </w:tr>
      <w:tr>
        <w:tc>
          <w:tcPr>
            <w:tcW w:type="dxa" w:w="165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S25-S36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Activity baseline</w:t>
            </w:r>
          </w:p>
        </w:tc>
        <w:tc>
          <w:tcPr>
            <w:tcW w:type="dxa" w:w="50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Expected counts, values, average size, corridors, customer types, seasonality, and estimate basis.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S37-S42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prescreening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Sanctions, adverse media, Section 311, jurisdictional determinations, and notes.</w:t>
            </w:r>
          </w:p>
        </w:tc>
      </w:tr>
      <w:tr>
        <w:tc>
          <w:tcPr>
            <w:tcW w:type="dxa" w:w="165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S43-S49</w:t>
            </w:r>
          </w:p>
        </w:tc>
        <w:tc>
          <w:tcPr>
            <w:tcW w:type="dxa" w:w="288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Rationale and oversight</w:t>
            </w:r>
          </w:p>
        </w:tc>
        <w:tc>
          <w:tcPr>
            <w:tcW w:type="dxa" w:w="504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Concentration, strategic rationale, alternatives, review frequency, monitoring, and exit plan.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S50-S52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Attestation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Relationship-owner confirmation, date, and senior-manager acknowledgement.</w:t>
            </w:r>
          </w:p>
        </w:tc>
      </w:tr>
    </w:tbl>
    <w:p/>
    <w:p>
      <w:pPr>
        <w:pStyle w:val="Heading1"/>
      </w:pPr>
      <w:r>
        <w:t>4. Model-Relevant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1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 relevance</w:t>
            </w:r>
          </w:p>
        </w:tc>
        <w:tc>
          <w:tcPr>
            <w:tcW w:type="dxa" w:w="453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Extraction treatment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S07-S11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F1-F3 and contradiction checks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legal name, country, LEI, parent, and regulator exactly.</w:t>
            </w:r>
          </w:p>
        </w:tc>
      </w:tr>
      <w:tr>
        <w:tc>
          <w:tcPr>
            <w:tcW w:type="dxa" w:w="172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S14-S24</w:t>
            </w:r>
          </w:p>
        </w:tc>
        <w:tc>
          <w:tcPr>
            <w:tcW w:type="dxa" w:w="331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F5, C4, hard exclusions, and controls</w:t>
            </w:r>
          </w:p>
        </w:tc>
        <w:tc>
          <w:tcPr>
            <w:tcW w:type="dxa" w:w="45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Separate proposed service, nesting permission, payable-through permission, and direct access.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S29-S36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F1, F5, monitoring baseline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ranges, currencies, corridors, customer types, seasonality, and estimate basis.</w:t>
            </w:r>
          </w:p>
        </w:tc>
      </w:tr>
      <w:tr>
        <w:tc>
          <w:tcPr>
            <w:tcW w:type="dxa" w:w="172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S37-S42</w:t>
            </w:r>
          </w:p>
        </w:tc>
        <w:tc>
          <w:tcPr>
            <w:tcW w:type="dxa" w:w="331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F1, F2, hard exclusions</w:t>
            </w:r>
          </w:p>
        </w:tc>
        <w:tc>
          <w:tcPr>
            <w:tcW w:type="dxa" w:w="45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internal screening result, reference-list version, date, source owner, and notes when present.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S43-S49</w:t>
            </w:r>
          </w:p>
        </w:tc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Concentration and control design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business rationale, monitoring, review frequency, and exit considerations.</w:t>
            </w:r>
          </w:p>
        </w:tc>
      </w:tr>
      <w:tr>
        <w:tc>
          <w:tcPr>
            <w:tcW w:type="dxa" w:w="172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S50-S52</w:t>
            </w:r>
          </w:p>
        </w:tc>
        <w:tc>
          <w:tcPr>
            <w:tcW w:type="dxa" w:w="3312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Human accountability</w:t>
            </w:r>
          </w:p>
        </w:tc>
        <w:tc>
          <w:tcPr>
            <w:tcW w:type="dxa" w:w="4536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attestation state and dates. Do not reinterpret acknowledgement as risk approval.</w:t>
            </w:r>
          </w:p>
        </w:tc>
      </w:tr>
    </w:tbl>
    <w:p/>
    <w:p>
      <w:pPr>
        <w:pStyle w:val="Heading1"/>
      </w:pPr>
      <w:r>
        <w:t>5. Required-Field Handling</w:t>
      </w:r>
    </w:p>
    <w:p>
      <w:pPr>
        <w:pStyle w:val="ListBullet"/>
      </w:pPr>
      <w:r>
        <w:t>When Column E marks a field required and Column D is blank, return REQUIRED_FIELD_BLANK with the field ID.</w:t>
      </w:r>
    </w:p>
    <w:p>
      <w:pPr>
        <w:pStyle w:val="ListBullet"/>
      </w:pPr>
      <w:r>
        <w:t>Do not substitute an answer from the CBDDQ for a missing internal answer.</w:t>
      </w:r>
    </w:p>
    <w:p>
      <w:pPr>
        <w:pStyle w:val="ListBullet"/>
      </w:pPr>
      <w:r>
        <w:t>Do not convert a missing internal screening result to Clear.</w:t>
      </w:r>
    </w:p>
    <w:p>
      <w:pPr>
        <w:pStyle w:val="ListBullet"/>
      </w:pPr>
      <w:r>
        <w:t>Do not treat a target go-live date or senior-manager acknowledgement as Gate 1 approval.</w:t>
      </w:r>
    </w:p>
    <w:p>
      <w:pPr>
        <w:pStyle w:val="ListBullet"/>
      </w:pPr>
      <w:r>
        <w:t>Preserve the stated basis of activity estimates and classify the source accordingly.</w:t>
      </w:r>
    </w:p>
    <w:p>
      <w:pPr>
        <w:pStyle w:val="Heading1"/>
      </w:pPr>
      <w:r>
        <w:t>6. Cross-Source Comparison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Scoping fact</w:t>
            </w:r>
          </w:p>
        </w:tc>
        <w:tc>
          <w:tcPr>
            <w:tcW w:type="dxa" w:w="3168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Compare with CBDDQ</w:t>
            </w:r>
          </w:p>
        </w:tc>
        <w:tc>
          <w:tcPr>
            <w:tcW w:type="dxa" w:w="4248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Expected handling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legal name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CBDDQ legal name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Exact or normalized match; otherwise identity exception.</w:t>
            </w:r>
          </w:p>
        </w:tc>
      </w:tr>
      <w:tr>
        <w:tc>
          <w:tcPr>
            <w:tcW w:type="dxa" w:w="216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Country</w:t>
            </w:r>
          </w:p>
        </w:tc>
        <w:tc>
          <w:tcPr>
            <w:tcW w:type="dxa" w:w="316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CBDDQ jurisdiction and addresses</w:t>
            </w:r>
          </w:p>
        </w:tc>
        <w:tc>
          <w:tcPr>
            <w:tcW w:type="dxa" w:w="424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both and flag material mismatch.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LEI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CBDDQ LEI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Exact match when both supplied.</w:t>
            </w:r>
          </w:p>
        </w:tc>
      </w:tr>
      <w:tr>
        <w:tc>
          <w:tcPr>
            <w:tcW w:type="dxa" w:w="216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Ultimate parent</w:t>
            </w:r>
          </w:p>
        </w:tc>
        <w:tc>
          <w:tcPr>
            <w:tcW w:type="dxa" w:w="316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CBDDQ parent</w:t>
            </w:r>
          </w:p>
        </w:tc>
        <w:tc>
          <w:tcPr>
            <w:tcW w:type="dxa" w:w="424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Normalized legal-name comparison.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Primary regulator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CBDDQ regulator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Preserve both values and source.</w:t>
            </w:r>
          </w:p>
        </w:tc>
      </w:tr>
      <w:tr>
        <w:tc>
          <w:tcPr>
            <w:tcW w:type="dxa" w:w="216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Proposed services</w:t>
            </w:r>
          </w:p>
        </w:tc>
        <w:tc>
          <w:tcPr>
            <w:tcW w:type="dxa" w:w="316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product capability</w:t>
            </w:r>
          </w:p>
        </w:tc>
        <w:tc>
          <w:tcPr>
            <w:tcW w:type="dxa" w:w="424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Different perspectives may create a review point, not necessarily contradiction.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Nesting/payable-through permission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downstream or payable-through capability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Assess enforceability and restrictions.</w:t>
            </w:r>
          </w:p>
        </w:tc>
      </w:tr>
      <w:tr>
        <w:tc>
          <w:tcPr>
            <w:tcW w:type="dxa" w:w="2160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Expected corridors</w:t>
            </w:r>
          </w:p>
        </w:tc>
        <w:tc>
          <w:tcPr>
            <w:tcW w:type="dxa" w:w="316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geographic footprint</w:t>
            </w:r>
          </w:p>
        </w:tc>
        <w:tc>
          <w:tcPr>
            <w:tcW w:type="dxa" w:w="4248"/>
            <w:shd w:fill="F6F8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Flag unsupported or conflicting corridor assumptions.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screening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Respondent sanctions answers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Internal screening is authoritative for Provider Institution prescreening; discrepancies remain visible.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9720"/>
      </w:tblGrid>
      <w:tr>
        <w:tc>
          <w:tcPr>
            <w:tcW w:type="dxa" w:w="5040"/>
            <w:shd w:fill="C27C0E"/>
          </w:tcPr>
          <w:p/>
        </w:tc>
        <w:tc>
          <w:tcPr>
            <w:tcW w:type="dxa" w:w="5040"/>
            <w:shd w:fill="FFF4CE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C27C0E"/>
                <w:sz w:val="20"/>
              </w:rPr>
              <w:t>Knowledge description to paste in Copilot Studio</w:t>
            </w:r>
          </w:p>
          <w:p>
            <w:pPr>
              <w:spacing w:after="0"/>
            </w:pPr>
            <w:r>
              <w:t>Authoritative extraction dictionary for the Provider Institution-completed standalone Relationship Scoping Form. Defines field identifiers, answer locations, required fields, internal source ownership, cross-source comparison targets, and controlled extraction rules.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Version 1.0.0 | Controlled knowledge source | Synthetic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A5A78"/>
        <w:sz w:val="16"/>
      </w:rPr>
      <w:t>PROJECT CORRESPONDENT GATE | CG EXT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5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E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Raymund Esponilla</dc:creator>
  <keywords/>
  <dc:description>generated by python-docx</dc:description>
  <lastModifiedBy>Raymund Esponilla</lastModifiedBy>
  <revision>1</revision>
  <dcterms:created xsi:type="dcterms:W3CDTF">2026-09-27T20:34:39.1929116Z</dcterms:created>
  <dcterms:modified xsi:type="dcterms:W3CDTF">2026-09-27T20:34:39.1929116Z</dcterms:modified>
  <category/>
</coreProperties>
</file>