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02 - TRD (Technical Requirements Document)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React (Vite / TypeScript setup) with Tailwind CSS.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Python 3.10+, FastAPI, Uvicorn, LangGraph, LangChain.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Data: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PostgreSQL via asyncpg.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Job Store: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SQLite (sqlite:///jobs.sqlite) specifically for APScheduler.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Abstracted user ID (UUID passed via headers) to ensure IDOR protection for future auth integrations.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Hosting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Local setup via Docker Compose (PostgreSQL container + FastAPI container).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Third-party APIs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Groq (langchain-groq) or Google Gemini (langchain-google-genai) [Free Tiers].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Market Data: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yfinance (Unofficial API).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 Libraries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apscheduler, newspaper3k, SQLAlchemy, react-markdown, remark-gfm (frontend).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Environment Variables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DATABASE_URL, GROQ_API_KEY, GOOGLE_API_KEY, TZ (Timezone).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Constraints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Must implement asyncio.Semaphore(2) around LLM calls to prevent free-tier RPM limits.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Must configure DB pool_size=20 and use FOR UPDATE row locks.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Must enforce a hard 6,000 character limit on scraped text to prevent context window overflow.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