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06 - Implementation Plan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1: Environment &amp;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Initialize project. Create docker-compose.yml for PostgreSQL. Set up Python .venv. Install fastapi, langgraph, yfinance, newspaper3k, apscheduler. Create .env for GROQ_API_KEY.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2: Database &amp; Models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 SQLAlchemy schemas for Watchlist, FinancialReport, and JobRun. Configure the AsyncSession with pool_size=20 and pool_recycle=1800. Implement the jobs.sqlite binding for APScheduler.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3: The Data Harvesters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 yfinance interface (enforce auto_adjust=False, custom headers, clear tkr-tz.db). Build newspaper3k scraper (enforce robots.txt, drop &lt; 400 char paywalls, truncate to 6000 chars max).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4: The LangGraph 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Define ReportState. Wire the 4 nodes (Orchestrator -&gt; Harvester -&gt; Scraper -&gt; Synthesis). Instantiate ChatGroq/ChatGoogle with strict .with_structured_output(method="json_schema"). Wrap LLM invoke in asyncio.Semaphore(2).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5: Scheduling &amp; Concurrency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Attach APScheduler to FastAPI lifespan. Build /api/watchlist/schedule endpoint. Implement the SELECT ... FOR UPDATE pessimistic lock to prevent 9:00 AM race conditions.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6: Frontend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Initialize Vite React app. Build &lt;ReportSidebar /&gt; and &lt;ReportView /&gt;. Integrate react-markdown and remark-gfm. Fetch data from FastAPI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7: Security Sweep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FastAPI global exception handler (500 errors). Ensure prompt injection regex is active. Test user quota (max 5 jobs).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Done Criteria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 runs locally. User can search a stock, view the Markdown report safely, and schedule a daily cron job that executes without crashing the connection pool or hitting Groq 429 limits.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