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Infrastructure Mandates: Free Cloud API Reliability &amp; Limits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CRITICAL DIRECTIVE:</w:t>
      </w:r>
      <w:r w:rsidDel="00000000" w:rsidR="00000000" w:rsidRPr="00000000">
        <w:rPr>
          <w:rFonts w:ascii="Google Sans" w:cs="Google Sans" w:eastAsia="Google Sans" w:hAnsi="Google Sans"/>
          <w:color w:val="1f1f1f"/>
          <w:rtl w:val="0"/>
        </w:rPr>
        <w:t xml:space="preserve"> The pipeline utilizes Free-Tier Cloud LLM APIs (e.g., Groq or Google Gemini). To prevent Free-Tier rate limit crashes (HTTP 429), token bloat, and JSON parsing failures, you must implement the following safeguards: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Free-Tier Rate Limit Throttling (The Semaphore)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Risk:</w:t>
      </w:r>
      <w:r w:rsidDel="00000000" w:rsidR="00000000" w:rsidRPr="00000000">
        <w:rPr>
          <w:rFonts w:ascii="Google Sans" w:cs="Google Sans" w:eastAsia="Google Sans" w:hAnsi="Google Sans"/>
          <w:color w:val="1f1f1f"/>
          <w:rtl w:val="0"/>
        </w:rPr>
        <w:t xml:space="preserve"> Free tiers have aggressive Requests-Per-Minute (RPM) limits.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Implementation:</w:t>
      </w:r>
      <w:r w:rsidDel="00000000" w:rsidR="00000000" w:rsidRPr="00000000">
        <w:rPr>
          <w:rFonts w:ascii="Google Sans" w:cs="Google Sans" w:eastAsia="Google Sans" w:hAnsi="Google Sans"/>
          <w:color w:val="1f1f1f"/>
          <w:rtl w:val="0"/>
        </w:rPr>
        <w:t xml:space="preserve"> You must wrap the llm.invoke() call inside the Synthesis Node with an asyncio.Semaphore(1) or asyncio.Semaphore(2). This forces concurrent LangGraph threads to queue up and wait their turn before pinging the LLM provider.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Token Governance &amp; Truncation</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Risk:</w:t>
      </w:r>
      <w:r w:rsidDel="00000000" w:rsidR="00000000" w:rsidRPr="00000000">
        <w:rPr>
          <w:rFonts w:ascii="Google Sans" w:cs="Google Sans" w:eastAsia="Google Sans" w:hAnsi="Google Sans"/>
          <w:color w:val="1f1f1f"/>
          <w:rtl w:val="0"/>
        </w:rPr>
        <w:t xml:space="preserve"> Passing raw, unedited web scrapes will exceed the token context window of free models and crash the pipeline.</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Implementation:</w:t>
      </w:r>
      <w:r w:rsidDel="00000000" w:rsidR="00000000" w:rsidRPr="00000000">
        <w:rPr>
          <w:rFonts w:ascii="Google Sans" w:cs="Google Sans" w:eastAsia="Google Sans" w:hAnsi="Google Sans"/>
          <w:color w:val="1f1f1f"/>
          <w:rtl w:val="0"/>
        </w:rPr>
        <w:t xml:space="preserve"> Enforce a strict ceiling of 6,000 characters for the combined qualitative payload. If the scraped text exceeds this, truncate it (e.g., text = text[:6000]) before invoking the Synthesis Node.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Anti-Bot Firewall Bypass</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Risk:</w:t>
      </w:r>
      <w:r w:rsidDel="00000000" w:rsidR="00000000" w:rsidRPr="00000000">
        <w:rPr>
          <w:rFonts w:ascii="Google Sans" w:cs="Google Sans" w:eastAsia="Google Sans" w:hAnsi="Google Sans"/>
          <w:color w:val="1f1f1f"/>
          <w:rtl w:val="0"/>
        </w:rPr>
        <w:t xml:space="preserve"> Financial sites will block your server's requests with Cloudflare 403 errors.</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Implementation:</w:t>
      </w:r>
      <w:r w:rsidDel="00000000" w:rsidR="00000000" w:rsidRPr="00000000">
        <w:rPr>
          <w:rFonts w:ascii="Google Sans" w:cs="Google Sans" w:eastAsia="Google Sans" w:hAnsi="Google Sans"/>
          <w:color w:val="1f1f1f"/>
          <w:rtl w:val="0"/>
        </w:rPr>
        <w:t xml:space="preserve"> The scraper must utilize randomized User-Agent headers and standard web browser spoofing signatures to bypass basic CDNs.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