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Architecture &amp; System Mandates: Automated Financial Research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DIRECTIVE FOR AI AGENTS: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operating as a senior software engineer building an enterprise-grade, multi-agent financial research platform. Before generating any code or proposing any architectural changes, you must read and strictly adhere to the following 5 mandates.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Architecture: Multi-Agent Graph (LangGraph)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Transitions from a standard LLM wrapper to a deterministic, stateful directed acyclic graph (DAG) using LangGraph.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workflow revolves around a shared, mutable ReportState TypedDict passed sequentially between four nodes: Orchestrator, Financial Harvester, Scraper &amp; Filter, and Synthesis &amp; Formatter.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AI Execution (Free Tier):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Synthesis Node must be configured to route to a free cloud API (Groq or Google Gemini) using langchain_groq or langchain_google_genai. You must enforce strict JSON mode using .with_structured_output(Schema, method="json_schema") to prevent parsing crashes, and you must wrap the LLM call in an asyncio.Semaphore(2) to prevent free-tier 429 rate limit errors.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Python Virtual Environment &amp; Dependencies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Python code must utilize the following libraries explicitly: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langgraph, langchain, langchain-groq, langchain-google-genai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Harvesting: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yfinance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Scraping &amp; NLP: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newspaper3k, lxml, difflib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&amp; Scheduling: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fastapi, uvicorn, apscheduler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&amp; Async: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sqlalchemy, asyncpg, aiosqlite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Database &amp; Concurrency Mandates (High-Availability)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persistence layer utilizes a hybrid approach and must enforce defensive patterns to prevent deadlocks: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Application DB (PostgreSQL):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for storing schedules and final markdown reports. Connection must be via postgresql+asyncpg://...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 Store DB (SQLite):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APScheduler must map its job store to a local sqlite:///jobs.sqlite to isolate scheduling queries from the main database.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Connection Pooling: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SQLAlchemy async engine must be configured with a strict pool_size=20 and pool_recycle=1800 to prevent memory leaks and cron-job crashes.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Transaction Locking: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must implement a pessimistic semaphore lock using a .with_for_update() query to prevent a user’s manual trigger from colliding with an automated background schedule.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Security &amp; Precautionary Guardrails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must write defensive code that anticipates third-party API failures: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yfinance Instability: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yfinance dataframe must be explicitly locked using auto_adjust=False. Network calls must use a custom requests.Session with a rotating User-Agent, and the local tkr-tz.db cache must be cleared programmatically before execution.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Scraping Hallucinations: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text extracted by newspaper3k that is under 400 characters must be instantly dropped (flagged as "PAYWALL_OR_EMPTY_ERROR") to prevent the LLM from inventing context.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Injection Defense: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Scraped web text must be wrapped in strict &lt;SCRAPED_DATA&gt; XML tags before being passed to the Synthesis node.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Frontend Presentation Layer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(Vite/TypeScript setup).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 Rendering: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dedicated Report Hub UI must use react-markdown alongside the remark-gfm plugin. This is required to safely render multi-column financial tables and structured checklists without inducing cross-site scripting (XSS) vulnerabilities.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Acknowledgment: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instructed to begin, read this file, acknowledge these constraints, and wait for the specific file or component requested by the user.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