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C2042"/>
      </w:pPr>
      <w:r>
        <w:rPr>
          <w:sz w:val="56"/>
        </w:rPr>
        <w:t xml:space="preserve">                                                                                                                        </w:t>
      </w:r>
    </w:p>
    <w:p/>
    <w:p>
      <w:pPr>
        <w:jc w:val="center"/>
      </w:pPr>
      <w:r>
        <w:rPr>
          <w:b/>
          <w:color w:val="1565C0"/>
          <w:sz w:val="84"/>
        </w:rPr>
        <w:t>F</w:t>
      </w:r>
      <w:r>
        <w:rPr>
          <w:b/>
          <w:color w:val="192638"/>
          <w:sz w:val="84"/>
        </w:rPr>
        <w:t>i</w:t>
      </w:r>
      <w:r>
        <w:rPr>
          <w:b/>
          <w:color w:val="1976D2"/>
          <w:sz w:val="84"/>
        </w:rPr>
        <w:t>bank</w:t>
      </w:r>
    </w:p>
    <w:p/>
    <w:p>
      <w:pPr>
        <w:jc w:val="center"/>
      </w:pPr>
      <w:r>
        <w:rPr>
          <w:rFonts w:ascii="Calibri" w:hAnsi="Calibri"/>
          <w:b/>
          <w:color w:val="0C2042"/>
          <w:sz w:val="52"/>
        </w:rPr>
        <w:t>Intelligent Fraud Detection System</w:t>
      </w:r>
    </w:p>
    <w:p>
      <w:pPr>
        <w:jc w:val="center"/>
      </w:pPr>
      <w:r>
        <w:rPr>
          <w:rFonts w:ascii="Calibri" w:hAnsi="Calibri"/>
          <w:i/>
          <w:color w:val="1565C0"/>
          <w:sz w:val="28"/>
        </w:rPr>
        <w:t>A Real-Time Behavioural Risk Engine for Digital Banking</w:t>
      </w:r>
    </w:p>
    <w:p/>
    <w:p>
      <w:pPr>
        <w:pBdr>
          <w:bottom w:val="single" w:sz="4" w:space="1" w:color="DAE5F2"/>
        </w:pBdr>
        <w:spacing w:after="160" w:before="80"/>
      </w:pPr>
    </w:p>
    <w:p/>
    <w:p>
      <w:pPr>
        <w:jc w:val="center"/>
      </w:pPr>
      <w:r>
        <w:rPr>
          <w:color w:val="6D89A5"/>
          <w:sz w:val="22"/>
        </w:rPr>
        <w:t>Fibank Hackathon Team  ·  Tirana, Albania  ·  2025</w:t>
      </w:r>
    </w:p>
    <w:p/>
    <w:p/>
    <w:tbl>
      <w:tblPr>
        <w:tblStyle w:val="TableGrid"/>
        <w:tblW w:type="auto" w:w="0"/>
        <w:tblLook w:firstColumn="1" w:firstRow="1" w:lastColumn="0" w:lastRow="0" w:noHBand="0" w:noVBand="1" w:val="04A0"/>
      </w:tblPr>
      <w:tblGrid>
        <w:gridCol w:w="9072"/>
      </w:tblGrid>
      <w:tr>
        <w:tc>
          <w:tcPr>
            <w:tcW w:type="dxa" w:w="9072"/>
            <w:shd w:val="clear" w:color="auto" w:fill="E8F0FC"/>
          </w:tcPr>
          <w:p>
            <w:pPr>
              <w:spacing w:before="80" w:after="80"/>
              <w:ind w:left="144"/>
            </w:pPr>
            <w:r>
              <w:rPr>
                <w:rFonts w:ascii="Calibri" w:hAnsi="Calibri"/>
                <w:sz w:val="19"/>
              </w:rPr>
              <w:t>CLASSIFICATION: Hackathon Demonstration — Technical White Paper</w:t>
              <w:br/>
            </w:r>
            <w:r>
              <w:rPr>
                <w:rFonts w:ascii="Calibri" w:hAnsi="Calibri"/>
                <w:sz w:val="19"/>
              </w:rPr>
              <w:t>This document describes a fully functional fraud detection prototype built for the Fibank Innovation Hackathon.</w:t>
              <w:br/>
            </w:r>
            <w:r>
              <w:rPr>
                <w:rFonts w:ascii="Calibri" w:hAnsi="Calibri"/>
                <w:sz w:val="19"/>
              </w:rPr>
              <w:t>All signals, scenarios, and scoring parameters are documented herein in full technical detail.</w:t>
              <w:br/>
            </w:r>
          </w:p>
        </w:tc>
      </w:tr>
    </w:tbl>
    <w:p/>
    <w:p>
      <w:r>
        <w:br w:type="page"/>
      </w:r>
    </w:p>
    <w:p>
      <w:pPr>
        <w:pStyle w:val="Heading1"/>
        <w:spacing w:before="360" w:after="120"/>
      </w:pPr>
      <w:r>
        <w:t>Table of Contents</w:t>
      </w:r>
    </w:p>
    <w:p>
      <w:pPr>
        <w:spacing w:after="40" w:before="20"/>
        <w:tabs>
          <w:tab w:val="right" w:leader="dot" w:pos="8640"/>
        </w:tabs>
      </w:pPr>
      <w:r>
        <w:rPr>
          <w:rFonts w:ascii="Calibri" w:hAnsi="Calibri"/>
          <w:color w:val="192638"/>
          <w:sz w:val="20"/>
        </w:rPr>
        <w:t>Executive Summary</w:t>
        <w:tab/>
      </w:r>
      <w:r>
        <w:rPr>
          <w:rFonts w:ascii="Calibri" w:hAnsi="Calibri"/>
          <w:color w:val="1565C0"/>
          <w:sz w:val="20"/>
        </w:rPr>
        <w:t>3</w:t>
      </w:r>
    </w:p>
    <w:p>
      <w:pPr>
        <w:spacing w:after="40" w:before="20"/>
        <w:tabs>
          <w:tab w:val="right" w:leader="dot" w:pos="8640"/>
        </w:tabs>
      </w:pPr>
      <w:r>
        <w:rPr>
          <w:rFonts w:ascii="Calibri" w:hAnsi="Calibri"/>
          <w:color w:val="192638"/>
          <w:sz w:val="20"/>
        </w:rPr>
        <w:t>1.  Introduction</w:t>
        <w:tab/>
      </w:r>
      <w:r>
        <w:rPr>
          <w:rFonts w:ascii="Calibri" w:hAnsi="Calibri"/>
          <w:color w:val="1565C0"/>
          <w:sz w:val="20"/>
        </w:rPr>
        <w:t>3</w:t>
      </w:r>
    </w:p>
    <w:p>
      <w:pPr>
        <w:spacing w:after="40" w:before="20"/>
        <w:tabs>
          <w:tab w:val="right" w:leader="dot" w:pos="8640"/>
        </w:tabs>
      </w:pPr>
      <w:r>
        <w:rPr>
          <w:rFonts w:ascii="Calibri" w:hAnsi="Calibri"/>
          <w:color w:val="192638"/>
          <w:sz w:val="20"/>
        </w:rPr>
        <w:t>2.  System Architecture</w:t>
        <w:tab/>
      </w:r>
      <w:r>
        <w:rPr>
          <w:rFonts w:ascii="Calibri" w:hAnsi="Calibri"/>
          <w:color w:val="1565C0"/>
          <w:sz w:val="20"/>
        </w:rPr>
        <w:t>4</w:t>
      </w:r>
    </w:p>
    <w:p>
      <w:pPr>
        <w:spacing w:after="40" w:before="20"/>
        <w:tabs>
          <w:tab w:val="right" w:leader="dot" w:pos="8640"/>
        </w:tabs>
      </w:pPr>
      <w:r>
        <w:rPr>
          <w:rFonts w:ascii="Calibri" w:hAnsi="Calibri"/>
          <w:color w:val="192638"/>
          <w:sz w:val="20"/>
        </w:rPr>
        <w:t>3.  The 27 Behavioural Signals</w:t>
        <w:tab/>
      </w:r>
      <w:r>
        <w:rPr>
          <w:rFonts w:ascii="Calibri" w:hAnsi="Calibri"/>
          <w:color w:val="1565C0"/>
          <w:sz w:val="20"/>
        </w:rPr>
        <w:t>5</w:t>
      </w:r>
    </w:p>
    <w:p>
      <w:pPr>
        <w:spacing w:after="40" w:before="20"/>
        <w:tabs>
          <w:tab w:val="right" w:leader="dot" w:pos="8640"/>
        </w:tabs>
      </w:pPr>
      <w:r>
        <w:rPr>
          <w:rFonts w:ascii="Calibri" w:hAnsi="Calibri"/>
          <w:color w:val="192638"/>
          <w:sz w:val="20"/>
        </w:rPr>
        <w:t>4.  The Scoring Engine</w:t>
        <w:tab/>
      </w:r>
      <w:r>
        <w:rPr>
          <w:rFonts w:ascii="Calibri" w:hAnsi="Calibri"/>
          <w:color w:val="1565C0"/>
          <w:sz w:val="20"/>
        </w:rPr>
        <w:t>7</w:t>
      </w:r>
    </w:p>
    <w:p>
      <w:pPr>
        <w:spacing w:after="40" w:before="20"/>
        <w:tabs>
          <w:tab w:val="right" w:leader="dot" w:pos="8640"/>
        </w:tabs>
      </w:pPr>
      <w:r>
        <w:rPr>
          <w:rFonts w:ascii="Calibri" w:hAnsi="Calibri"/>
          <w:color w:val="192638"/>
          <w:sz w:val="20"/>
        </w:rPr>
        <w:t>5.  The Three-Tier Authentication System</w:t>
        <w:tab/>
      </w:r>
      <w:r>
        <w:rPr>
          <w:rFonts w:ascii="Calibri" w:hAnsi="Calibri"/>
          <w:color w:val="1565C0"/>
          <w:sz w:val="20"/>
        </w:rPr>
        <w:t>9</w:t>
      </w:r>
    </w:p>
    <w:p>
      <w:pPr>
        <w:spacing w:after="40" w:before="20"/>
        <w:tabs>
          <w:tab w:val="right" w:leader="dot" w:pos="8640"/>
        </w:tabs>
      </w:pPr>
      <w:r>
        <w:rPr>
          <w:rFonts w:ascii="Calibri" w:hAnsi="Calibri"/>
          <w:color w:val="192638"/>
          <w:sz w:val="20"/>
        </w:rPr>
        <w:t>6.  AI / ML Model Deep-Dive</w:t>
        <w:tab/>
      </w:r>
      <w:r>
        <w:rPr>
          <w:rFonts w:ascii="Calibri" w:hAnsi="Calibri"/>
          <w:color w:val="1565C0"/>
          <w:sz w:val="20"/>
        </w:rPr>
        <w:t>11</w:t>
      </w:r>
    </w:p>
    <w:p>
      <w:pPr>
        <w:spacing w:after="40" w:before="20"/>
        <w:tabs>
          <w:tab w:val="right" w:leader="dot" w:pos="8640"/>
        </w:tabs>
      </w:pPr>
      <w:r>
        <w:rPr>
          <w:rFonts w:ascii="Calibri" w:hAnsi="Calibri"/>
          <w:color w:val="192638"/>
          <w:sz w:val="20"/>
        </w:rPr>
        <w:t>7.  Fraud Pattern Analysis</w:t>
        <w:tab/>
      </w:r>
      <w:r>
        <w:rPr>
          <w:rFonts w:ascii="Calibri" w:hAnsi="Calibri"/>
          <w:color w:val="1565C0"/>
          <w:sz w:val="20"/>
        </w:rPr>
        <w:t>13</w:t>
      </w:r>
    </w:p>
    <w:p>
      <w:pPr>
        <w:spacing w:after="40" w:before="20"/>
        <w:tabs>
          <w:tab w:val="right" w:leader="dot" w:pos="8640"/>
        </w:tabs>
      </w:pPr>
      <w:r>
        <w:rPr>
          <w:rFonts w:ascii="Calibri" w:hAnsi="Calibri"/>
          <w:color w:val="192638"/>
          <w:sz w:val="20"/>
        </w:rPr>
        <w:t>8.  Real-World Implementation</w:t>
        <w:tab/>
      </w:r>
      <w:r>
        <w:rPr>
          <w:rFonts w:ascii="Calibri" w:hAnsi="Calibri"/>
          <w:color w:val="1565C0"/>
          <w:sz w:val="20"/>
        </w:rPr>
        <w:t>15</w:t>
      </w:r>
    </w:p>
    <w:p>
      <w:pPr>
        <w:spacing w:after="40" w:before="20"/>
        <w:tabs>
          <w:tab w:val="right" w:leader="dot" w:pos="8640"/>
        </w:tabs>
      </w:pPr>
      <w:r>
        <w:rPr>
          <w:rFonts w:ascii="Calibri" w:hAnsi="Calibri"/>
          <w:color w:val="192638"/>
          <w:sz w:val="20"/>
        </w:rPr>
        <w:t>9.  Compliance &amp; Regulatory Alignment</w:t>
        <w:tab/>
      </w:r>
      <w:r>
        <w:rPr>
          <w:rFonts w:ascii="Calibri" w:hAnsi="Calibri"/>
          <w:color w:val="1565C0"/>
          <w:sz w:val="20"/>
        </w:rPr>
        <w:t>18</w:t>
      </w:r>
    </w:p>
    <w:p>
      <w:pPr>
        <w:spacing w:after="40" w:before="20"/>
        <w:tabs>
          <w:tab w:val="right" w:leader="dot" w:pos="8640"/>
        </w:tabs>
      </w:pPr>
      <w:r>
        <w:rPr>
          <w:rFonts w:ascii="Calibri" w:hAnsi="Calibri"/>
          <w:color w:val="192638"/>
          <w:sz w:val="20"/>
        </w:rPr>
        <w:t>10. Conclusion</w:t>
        <w:tab/>
      </w:r>
      <w:r>
        <w:rPr>
          <w:rFonts w:ascii="Calibri" w:hAnsi="Calibri"/>
          <w:color w:val="1565C0"/>
          <w:sz w:val="20"/>
        </w:rPr>
        <w:t>19</w:t>
      </w:r>
    </w:p>
    <w:p>
      <w:pPr>
        <w:spacing w:after="40" w:before="20"/>
        <w:tabs>
          <w:tab w:val="right" w:leader="dot" w:pos="8640"/>
        </w:tabs>
      </w:pPr>
      <w:r>
        <w:rPr>
          <w:rFonts w:ascii="Calibri" w:hAnsi="Calibri"/>
          <w:color w:val="192638"/>
          <w:sz w:val="20"/>
        </w:rPr>
        <w:t>References</w:t>
        <w:tab/>
      </w:r>
      <w:r>
        <w:rPr>
          <w:rFonts w:ascii="Calibri" w:hAnsi="Calibri"/>
          <w:color w:val="1565C0"/>
          <w:sz w:val="20"/>
        </w:rPr>
        <w:t>20</w:t>
      </w:r>
    </w:p>
    <w:p>
      <w:r>
        <w:br w:type="page"/>
      </w:r>
    </w:p>
    <w:p>
      <w:pPr>
        <w:pStyle w:val="Heading1"/>
        <w:spacing w:before="360" w:after="120"/>
      </w:pPr>
      <w:r>
        <w:t>Executive Summary</w:t>
      </w:r>
    </w:p>
    <w:p>
      <w:pPr>
        <w:spacing w:before="0" w:after="100" w:line="260" w:lineRule="exact"/>
      </w:pPr>
      <w:r>
        <w:rPr>
          <w:rFonts w:ascii="Calibri" w:hAnsi="Calibri"/>
          <w:b w:val="0"/>
          <w:i w:val="0"/>
          <w:sz w:val="20"/>
        </w:rPr>
        <w:t>Fibank's Intelligent Fraud Detection System is a real-time, multi-signal behavioural risk engine built to detect and intercept Authorised Push Payment (APP) fraud, vishing attacks, phishing-link-originated sessions, and automated bot-driven transfers — before the money leaves the account.</w:t>
      </w:r>
    </w:p>
    <w:p>
      <w:pPr>
        <w:spacing w:before="0" w:after="100" w:line="260" w:lineRule="exact"/>
      </w:pPr>
      <w:r>
        <w:rPr>
          <w:rFonts w:ascii="Calibri" w:hAnsi="Calibri"/>
          <w:b w:val="0"/>
          <w:i w:val="0"/>
          <w:sz w:val="20"/>
        </w:rPr>
        <w:t>The system operates across three escalating risk tiers (LOW, MEDIUM, HIGH), each triggering a proportional authentication response: passive trust for low-risk sessions, biometric verification (Face ID, Touch ID, Passkey, Push Approval) for medium-risk sessions, and a full FIDO security-key challenge followed by biometric confirmation for high-risk sessions. Transfers above 90,000 ALL are always subject to at minimum MEDIUM-tier verification, enforcing a hard daily limit policy.</w:t>
      </w:r>
    </w:p>
    <w:p>
      <w:pPr>
        <w:spacing w:before="0" w:after="100" w:line="260" w:lineRule="exact"/>
      </w:pPr>
      <w:r>
        <w:rPr>
          <w:rFonts w:ascii="Calibri" w:hAnsi="Calibri"/>
          <w:b w:val="0"/>
          <w:i w:val="0"/>
          <w:sz w:val="20"/>
        </w:rPr>
        <w:t>The engine combines three complementary layers:</w:t>
      </w:r>
    </w:p>
    <w:p>
      <w:pPr>
        <w:pStyle w:val="ListBullet"/>
        <w:spacing w:after="60" w:before="0"/>
        <w:ind w:left="432"/>
      </w:pPr>
      <w:r>
        <w:rPr>
          <w:rFonts w:ascii="Calibri" w:hAnsi="Calibri"/>
          <w:b w:val="0"/>
          <w:i w:val="0"/>
          <w:sz w:val="20"/>
        </w:rPr>
        <w:t>A deterministic rule-based scoring formula spanning 27 behavioural signals — precise, explainable, real-time.</w:t>
      </w:r>
    </w:p>
    <w:p>
      <w:pPr>
        <w:pStyle w:val="ListBullet"/>
        <w:spacing w:after="60" w:before="0"/>
        <w:ind w:left="432"/>
      </w:pPr>
      <w:r>
        <w:rPr>
          <w:rFonts w:ascii="Calibri" w:hAnsi="Calibri"/>
          <w:b w:val="0"/>
          <w:i w:val="0"/>
          <w:sz w:val="20"/>
        </w:rPr>
        <w:t>A trained XGBoost gradient-boosted classifier whose output is surfaced on the Live Risk Intelligence dashboard.</w:t>
      </w:r>
    </w:p>
    <w:p>
      <w:pPr>
        <w:pStyle w:val="ListBullet"/>
        <w:spacing w:after="60" w:before="0"/>
        <w:ind w:left="432"/>
      </w:pPr>
      <w:r>
        <w:rPr>
          <w:rFonts w:ascii="Calibri" w:hAnsi="Calibri"/>
          <w:b w:val="0"/>
          <w:i w:val="0"/>
          <w:sz w:val="20"/>
        </w:rPr>
        <w:t>Passive browser/session telemetry: clipboard activity, tab-switching, session origin (email/SMS link detection), IBAN novelty, password paste events, mouse linearity, typing cadence, and more.</w:t>
      </w:r>
    </w:p>
    <w:p>
      <w:pPr>
        <w:spacing w:before="0" w:after="100" w:line="260" w:lineRule="exact"/>
      </w:pPr>
      <w:r>
        <w:rPr>
          <w:rFonts w:ascii="Calibri" w:hAnsi="Calibri"/>
          <w:b w:val="0"/>
          <w:i w:val="0"/>
          <w:sz w:val="20"/>
        </w:rPr>
        <w:t>In this demo environment the system uses simulated signals controlled by a presenter panel. In a real production deployment against live transaction data, the model's AUC-ROC would be expected to exceed 0.95 based on comparable deployments in digital banking fraud literature, with false positive rates below 2%.</w:t>
      </w:r>
    </w:p>
    <w:p>
      <w:r>
        <w:br w:type="page"/>
      </w:r>
    </w:p>
    <w:p>
      <w:pPr>
        <w:pStyle w:val="Heading1"/>
        <w:spacing w:before="360" w:after="120"/>
      </w:pPr>
      <w:r>
        <w:t>1.  Introduction</w:t>
      </w:r>
    </w:p>
    <w:p>
      <w:pPr>
        <w:pStyle w:val="Heading2"/>
        <w:spacing w:before="240" w:after="80"/>
      </w:pPr>
      <w:r>
        <w:t>1.1  The Problem</w:t>
      </w:r>
    </w:p>
    <w:p>
      <w:pPr>
        <w:spacing w:before="0" w:after="100" w:line="260" w:lineRule="exact"/>
      </w:pPr>
      <w:r>
        <w:rPr>
          <w:rFonts w:ascii="Calibri" w:hAnsi="Calibri"/>
          <w:b w:val="0"/>
          <w:i w:val="0"/>
          <w:sz w:val="20"/>
        </w:rPr>
        <w:t>Digital banking fraud in the Western Balkans has accelerated dramatically since 2022. The dominant attack vectors mirror global patterns: scammers impersonate bank officials via phone (vishing), send fraudulent payment links via SMS or messaging apps (smishing / phishing), and use remote desktop software to take over victims' sessions in real time. The distinguishing characteristic of APP (Authorised Push Payment) fraud is that the victim is manipulated into initiating the transfer themselves — making transaction-level controls alone insufficient.</w:t>
      </w:r>
    </w:p>
    <w:p>
      <w:pPr>
        <w:spacing w:before="0" w:after="100" w:line="260" w:lineRule="exact"/>
      </w:pPr>
      <w:r>
        <w:rPr>
          <w:rFonts w:ascii="Calibri" w:hAnsi="Calibri"/>
          <w:b w:val="0"/>
          <w:i w:val="0"/>
          <w:sz w:val="20"/>
        </w:rPr>
        <w:t>Traditional fraud detection fails against APP fraud for three structural reasons:</w:t>
      </w:r>
    </w:p>
    <w:p>
      <w:pPr>
        <w:pStyle w:val="ListNumber"/>
        <w:spacing w:after="60" w:before="0"/>
      </w:pPr>
      <w:r>
        <w:rPr>
          <w:rFonts w:ascii="Calibri" w:hAnsi="Calibri"/>
          <w:b w:val="0"/>
          <w:i w:val="0"/>
          <w:sz w:val="20"/>
        </w:rPr>
        <w:t>The transaction passes every account-level rule (correct credentials, correct device, correct location — or appears to).</w:t>
      </w:r>
    </w:p>
    <w:p>
      <w:pPr>
        <w:pStyle w:val="ListNumber"/>
        <w:spacing w:after="60" w:before="0"/>
      </w:pPr>
      <w:r>
        <w:rPr>
          <w:rFonts w:ascii="Calibri" w:hAnsi="Calibri"/>
          <w:b w:val="0"/>
          <w:i w:val="0"/>
          <w:sz w:val="20"/>
        </w:rPr>
        <w:t>The fraud is consensual from the bank's perspective — no credential theft is detectable.</w:t>
      </w:r>
    </w:p>
    <w:p>
      <w:pPr>
        <w:pStyle w:val="ListNumber"/>
        <w:spacing w:after="60" w:before="0"/>
      </w:pPr>
      <w:r>
        <w:rPr>
          <w:rFonts w:ascii="Calibri" w:hAnsi="Calibri"/>
          <w:b w:val="0"/>
          <w:i w:val="0"/>
          <w:sz w:val="20"/>
        </w:rPr>
        <w:t>Detection must happen in the 30–60 seconds between form completion and funds release.</w:t>
      </w:r>
    </w:p>
    <w:p>
      <w:pPr>
        <w:pStyle w:val="Heading2"/>
        <w:spacing w:before="240" w:after="80"/>
      </w:pPr>
      <w:r>
        <w:t>1.2  Our Approach</w:t>
      </w:r>
    </w:p>
    <w:p>
      <w:pPr>
        <w:spacing w:before="0" w:after="100" w:line="260" w:lineRule="exact"/>
      </w:pPr>
      <w:r>
        <w:rPr>
          <w:rFonts w:ascii="Calibri" w:hAnsi="Calibri"/>
          <w:b w:val="0"/>
          <w:i w:val="0"/>
          <w:sz w:val="20"/>
        </w:rPr>
        <w:t>The Fibank Fraud Detection System reframes the problem: instead of analysing only WHAT is being transferred, it analyses HOW the session reached the transfer. Every interaction from login to button-click is a signal. Combined, these signals form a behavioural fingerprint that distinguishes a genuine customer from one who is being coached, monitored, or impersonated.</w:t>
      </w:r>
    </w:p>
    <w:p>
      <w:pPr>
        <w:spacing w:before="0" w:after="100" w:line="260" w:lineRule="exact"/>
      </w:pPr>
      <w:r>
        <w:rPr>
          <w:rFonts w:ascii="Calibri" w:hAnsi="Calibri"/>
          <w:b w:val="0"/>
          <w:i w:val="0"/>
          <w:sz w:val="20"/>
        </w:rPr>
        <w:t>The system was built as a full-stack hackathon demonstration using Python/Flask, SQLite, a trained XGBoost model, and vanilla JavaScript — deliberately avoiding heavyweight frameworks to demonstrate the core concept cleanly. The Presenter Control Panel allows hackathon judges to toggle individual fraud signals in real time and observe the scoring engine respond, with the risk gauge updating live every two seconds.</w:t>
      </w:r>
    </w:p>
    <w:p>
      <w:pPr>
        <w:pStyle w:val="Heading2"/>
        <w:spacing w:before="240" w:after="80"/>
      </w:pPr>
      <w:r>
        <w:t>1.3  Albanian Banking Context</w:t>
      </w:r>
    </w:p>
    <w:p>
      <w:pPr>
        <w:spacing w:before="0" w:after="100" w:line="260" w:lineRule="exact"/>
      </w:pPr>
      <w:r>
        <w:rPr>
          <w:rFonts w:ascii="Calibri" w:hAnsi="Calibri"/>
          <w:b w:val="0"/>
          <w:i w:val="0"/>
          <w:sz w:val="20"/>
        </w:rPr>
        <w:t>Under the Bank of Albania's regulatory framework and alignment with EU PSD2 Strong Customer Authentication (SCA) requirements, financial institutions are required to apply risk-based authentication for electronic payments. The Fibank system implements a compliant SCA layer across all three risk tiers.</w:t>
      </w:r>
    </w:p>
    <w:p>
      <w:pPr>
        <w:spacing w:before="0" w:after="100" w:line="260" w:lineRule="exact"/>
      </w:pPr>
      <w:r>
        <w:rPr>
          <w:rFonts w:ascii="Calibri" w:hAnsi="Calibri"/>
          <w:b w:val="0"/>
          <w:i w:val="0"/>
          <w:sz w:val="20"/>
        </w:rPr>
        <w:t>The 90,000 ALL transfer limit (~€820) mirrors the threshold at which Albanian retail banking customers are statistically most vulnerable to social engineering, based on reported fraud case distributions from the Albanian Financial Supervisory Authority (AFSA). Amounts above this threshold automatically enforce a MEDIUM-tier verification floor regardless of all other signals.</w:t>
      </w:r>
    </w:p>
    <w:p>
      <w:pPr>
        <w:pBdr>
          <w:bottom w:val="single" w:sz="4" w:space="1" w:color="DAE5F2"/>
        </w:pBdr>
        <w:spacing w:after="160" w:before="80"/>
      </w:pPr>
    </w:p>
    <w:p>
      <w:pPr>
        <w:pStyle w:val="Heading1"/>
        <w:spacing w:before="360" w:after="120"/>
      </w:pPr>
      <w:r>
        <w:t>2.  System Architecture</w:t>
      </w:r>
    </w:p>
    <w:p>
      <w:pPr>
        <w:pStyle w:val="Heading2"/>
        <w:spacing w:before="240" w:after="80"/>
      </w:pPr>
      <w:r>
        <w:t>2.1  Technology Stack Overview</w:t>
      </w:r>
    </w:p>
    <w:p>
      <w:pPr>
        <w:spacing w:before="0" w:after="100" w:line="260" w:lineRule="exact"/>
      </w:pPr>
      <w:r>
        <w:rPr>
          <w:rFonts w:ascii="Calibri" w:hAnsi="Calibri"/>
          <w:b w:val="0"/>
          <w:i w:val="0"/>
          <w:sz w:val="20"/>
        </w:rPr>
        <w:t>The system is implemented as a single-file Flask application (app.py, ~630 lines) backed by SQLite and a pre-trained XGBoost model. The frontend is pure vanilla JavaScript across four page routes, requiring no build pipeline and ensuring maximum demo reliability.</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0D47A1"/>
          </w:tcPr>
          <w:p>
            <w:pPr>
              <w:spacing w:before="60" w:after="60"/>
            </w:pPr>
            <w:r>
              <w:rPr>
                <w:rFonts w:ascii="Calibri" w:hAnsi="Calibri"/>
                <w:b/>
                <w:color w:val="FFFFFF"/>
                <w:sz w:val="18"/>
              </w:rPr>
              <w:t>Layer</w:t>
            </w:r>
          </w:p>
        </w:tc>
        <w:tc>
          <w:tcPr>
            <w:tcW w:type="dxa" w:w="2880"/>
            <w:shd w:val="clear" w:color="auto" w:fill="0D47A1"/>
          </w:tcPr>
          <w:p>
            <w:pPr>
              <w:spacing w:before="60" w:after="60"/>
            </w:pPr>
            <w:r>
              <w:rPr>
                <w:rFonts w:ascii="Calibri" w:hAnsi="Calibri"/>
                <w:b/>
                <w:color w:val="FFFFFF"/>
                <w:sz w:val="18"/>
              </w:rPr>
              <w:t>Technology</w:t>
            </w:r>
          </w:p>
        </w:tc>
        <w:tc>
          <w:tcPr>
            <w:tcW w:type="dxa" w:w="4320"/>
            <w:shd w:val="clear" w:color="auto" w:fill="0D47A1"/>
          </w:tcPr>
          <w:p>
            <w:pPr>
              <w:spacing w:before="60" w:after="60"/>
            </w:pPr>
            <w:r>
              <w:rPr>
                <w:rFonts w:ascii="Calibri" w:hAnsi="Calibri"/>
                <w:b/>
                <w:color w:val="FFFFFF"/>
                <w:sz w:val="18"/>
              </w:rPr>
              <w:t>Purpose</w:t>
            </w:r>
          </w:p>
        </w:tc>
      </w:tr>
      <w:tr>
        <w:tc>
          <w:tcPr>
            <w:tcW w:type="dxa" w:w="2016"/>
            <w:shd w:val="clear" w:color="auto" w:fill="F5F8FD"/>
          </w:tcPr>
          <w:p>
            <w:pPr>
              <w:spacing w:before="40" w:after="40"/>
            </w:pPr>
            <w:r>
              <w:rPr>
                <w:rFonts w:ascii="Calibri" w:hAnsi="Calibri"/>
                <w:b/>
                <w:color w:val="192638"/>
                <w:sz w:val="18"/>
              </w:rPr>
              <w:t>Backend</w:t>
            </w:r>
          </w:p>
        </w:tc>
        <w:tc>
          <w:tcPr>
            <w:tcW w:type="dxa" w:w="2880"/>
            <w:shd w:val="clear" w:color="auto" w:fill="F5F8FD"/>
          </w:tcPr>
          <w:p>
            <w:pPr>
              <w:spacing w:before="40" w:after="40"/>
            </w:pPr>
            <w:r>
              <w:rPr>
                <w:rFonts w:ascii="Calibri" w:hAnsi="Calibri"/>
                <w:sz w:val="18"/>
              </w:rPr>
              <w:t>Python 3.x + Flask</w:t>
            </w:r>
          </w:p>
        </w:tc>
        <w:tc>
          <w:tcPr>
            <w:tcW w:type="dxa" w:w="4320"/>
            <w:shd w:val="clear" w:color="auto" w:fill="F5F8FD"/>
          </w:tcPr>
          <w:p>
            <w:pPr>
              <w:spacing w:before="40" w:after="40"/>
            </w:pPr>
            <w:r>
              <w:rPr>
                <w:rFonts w:ascii="Calibri" w:hAnsi="Calibri"/>
                <w:sz w:val="18"/>
              </w:rPr>
              <w:t>API server, session management, scoring engine</w:t>
            </w:r>
          </w:p>
        </w:tc>
      </w:tr>
      <w:tr>
        <w:tc>
          <w:tcPr>
            <w:tcW w:type="dxa" w:w="2016"/>
            <w:shd w:val="clear" w:color="auto" w:fill="FFFFFF"/>
          </w:tcPr>
          <w:p>
            <w:pPr>
              <w:spacing w:before="40" w:after="40"/>
            </w:pPr>
            <w:r>
              <w:rPr>
                <w:rFonts w:ascii="Calibri" w:hAnsi="Calibri"/>
                <w:b/>
                <w:color w:val="192638"/>
                <w:sz w:val="18"/>
              </w:rPr>
              <w:t>Database</w:t>
            </w:r>
          </w:p>
        </w:tc>
        <w:tc>
          <w:tcPr>
            <w:tcW w:type="dxa" w:w="2880"/>
            <w:shd w:val="clear" w:color="auto" w:fill="FFFFFF"/>
          </w:tcPr>
          <w:p>
            <w:pPr>
              <w:spacing w:before="40" w:after="40"/>
            </w:pPr>
            <w:r>
              <w:rPr>
                <w:rFonts w:ascii="Calibri" w:hAnsi="Calibri"/>
                <w:sz w:val="18"/>
              </w:rPr>
              <w:t>SQLite (db.sqlite3)</w:t>
            </w:r>
          </w:p>
        </w:tc>
        <w:tc>
          <w:tcPr>
            <w:tcW w:type="dxa" w:w="4320"/>
            <w:shd w:val="clear" w:color="auto" w:fill="FFFFFF"/>
          </w:tcPr>
          <w:p>
            <w:pPr>
              <w:spacing w:before="40" w:after="40"/>
            </w:pPr>
            <w:r>
              <w:rPr>
                <w:rFonts w:ascii="Calibri" w:hAnsi="Calibri"/>
                <w:sz w:val="18"/>
              </w:rPr>
              <w:t>Users, transactions, saved recipients</w:t>
            </w:r>
          </w:p>
        </w:tc>
      </w:tr>
      <w:tr>
        <w:tc>
          <w:tcPr>
            <w:tcW w:type="dxa" w:w="2016"/>
            <w:shd w:val="clear" w:color="auto" w:fill="F5F8FD"/>
          </w:tcPr>
          <w:p>
            <w:pPr>
              <w:spacing w:before="40" w:after="40"/>
            </w:pPr>
            <w:r>
              <w:rPr>
                <w:rFonts w:ascii="Calibri" w:hAnsi="Calibri"/>
                <w:b/>
                <w:color w:val="192638"/>
                <w:sz w:val="18"/>
              </w:rPr>
              <w:t>ML Model</w:t>
            </w:r>
          </w:p>
        </w:tc>
        <w:tc>
          <w:tcPr>
            <w:tcW w:type="dxa" w:w="2880"/>
            <w:shd w:val="clear" w:color="auto" w:fill="F5F8FD"/>
          </w:tcPr>
          <w:p>
            <w:pPr>
              <w:spacing w:before="40" w:after="40"/>
            </w:pPr>
            <w:r>
              <w:rPr>
                <w:rFonts w:ascii="Calibri" w:hAnsi="Calibri"/>
                <w:sz w:val="18"/>
              </w:rPr>
              <w:t>XGBoost + joblib</w:t>
            </w:r>
          </w:p>
        </w:tc>
        <w:tc>
          <w:tcPr>
            <w:tcW w:type="dxa" w:w="4320"/>
            <w:shd w:val="clear" w:color="auto" w:fill="F5F8FD"/>
          </w:tcPr>
          <w:p>
            <w:pPr>
              <w:spacing w:before="40" w:after="40"/>
            </w:pPr>
            <w:r>
              <w:rPr>
                <w:rFonts w:ascii="Calibri" w:hAnsi="Calibri"/>
                <w:sz w:val="18"/>
              </w:rPr>
              <w:t>Fraud probability scoring, feature display</w:t>
            </w:r>
          </w:p>
        </w:tc>
      </w:tr>
      <w:tr>
        <w:tc>
          <w:tcPr>
            <w:tcW w:type="dxa" w:w="2016"/>
            <w:shd w:val="clear" w:color="auto" w:fill="FFFFFF"/>
          </w:tcPr>
          <w:p>
            <w:pPr>
              <w:spacing w:before="40" w:after="40"/>
            </w:pPr>
            <w:r>
              <w:rPr>
                <w:rFonts w:ascii="Calibri" w:hAnsi="Calibri"/>
                <w:b/>
                <w:color w:val="192638"/>
                <w:sz w:val="18"/>
              </w:rPr>
              <w:t>Label Encoding</w:t>
            </w:r>
          </w:p>
        </w:tc>
        <w:tc>
          <w:tcPr>
            <w:tcW w:type="dxa" w:w="2880"/>
            <w:shd w:val="clear" w:color="auto" w:fill="FFFFFF"/>
          </w:tcPr>
          <w:p>
            <w:pPr>
              <w:spacing w:before="40" w:after="40"/>
            </w:pPr>
            <w:r>
              <w:rPr>
                <w:rFonts w:ascii="Calibri" w:hAnsi="Calibri"/>
                <w:sz w:val="18"/>
              </w:rPr>
              <w:t>scikit-learn LabelEncoder</w:t>
            </w:r>
          </w:p>
        </w:tc>
        <w:tc>
          <w:tcPr>
            <w:tcW w:type="dxa" w:w="4320"/>
            <w:shd w:val="clear" w:color="auto" w:fill="FFFFFF"/>
          </w:tcPr>
          <w:p>
            <w:pPr>
              <w:spacing w:before="40" w:after="40"/>
            </w:pPr>
            <w:r>
              <w:rPr>
                <w:rFonts w:ascii="Calibri" w:hAnsi="Calibri"/>
                <w:sz w:val="18"/>
              </w:rPr>
              <w:t>ip_asn_type categorical encoding</w:t>
            </w:r>
          </w:p>
        </w:tc>
      </w:tr>
      <w:tr>
        <w:tc>
          <w:tcPr>
            <w:tcW w:type="dxa" w:w="2016"/>
            <w:shd w:val="clear" w:color="auto" w:fill="F5F8FD"/>
          </w:tcPr>
          <w:p>
            <w:pPr>
              <w:spacing w:before="40" w:after="40"/>
            </w:pPr>
            <w:r>
              <w:rPr>
                <w:rFonts w:ascii="Calibri" w:hAnsi="Calibri"/>
                <w:b/>
                <w:color w:val="192638"/>
                <w:sz w:val="18"/>
              </w:rPr>
              <w:t>Frontend</w:t>
            </w:r>
          </w:p>
        </w:tc>
        <w:tc>
          <w:tcPr>
            <w:tcW w:type="dxa" w:w="2880"/>
            <w:shd w:val="clear" w:color="auto" w:fill="F5F8FD"/>
          </w:tcPr>
          <w:p>
            <w:pPr>
              <w:spacing w:before="40" w:after="40"/>
            </w:pPr>
            <w:r>
              <w:rPr>
                <w:rFonts w:ascii="Calibri" w:hAnsi="Calibri"/>
                <w:sz w:val="18"/>
              </w:rPr>
              <w:t>Vanilla JavaScript (ES2020)</w:t>
            </w:r>
          </w:p>
        </w:tc>
        <w:tc>
          <w:tcPr>
            <w:tcW w:type="dxa" w:w="4320"/>
            <w:shd w:val="clear" w:color="auto" w:fill="F5F8FD"/>
          </w:tcPr>
          <w:p>
            <w:pPr>
              <w:spacing w:before="40" w:after="40"/>
            </w:pPr>
            <w:r>
              <w:rPr>
                <w:rFonts w:ascii="Calibri" w:hAnsi="Calibri"/>
                <w:sz w:val="18"/>
              </w:rPr>
              <w:t>Dashboard, transfer, profile, presenter panels</w:t>
            </w:r>
          </w:p>
        </w:tc>
      </w:tr>
      <w:tr>
        <w:tc>
          <w:tcPr>
            <w:tcW w:type="dxa" w:w="2016"/>
            <w:shd w:val="clear" w:color="auto" w:fill="FFFFFF"/>
          </w:tcPr>
          <w:p>
            <w:pPr>
              <w:spacing w:before="40" w:after="40"/>
            </w:pPr>
            <w:r>
              <w:rPr>
                <w:rFonts w:ascii="Calibri" w:hAnsi="Calibri"/>
                <w:b/>
                <w:color w:val="192638"/>
                <w:sz w:val="18"/>
              </w:rPr>
              <w:t>Styling</w:t>
            </w:r>
          </w:p>
        </w:tc>
        <w:tc>
          <w:tcPr>
            <w:tcW w:type="dxa" w:w="2880"/>
            <w:shd w:val="clear" w:color="auto" w:fill="FFFFFF"/>
          </w:tcPr>
          <w:p>
            <w:pPr>
              <w:spacing w:before="40" w:after="40"/>
            </w:pPr>
            <w:r>
              <w:rPr>
                <w:rFonts w:ascii="Calibri" w:hAnsi="Calibri"/>
                <w:sz w:val="18"/>
              </w:rPr>
              <w:t>Custom CSS (800 lines)</w:t>
            </w:r>
          </w:p>
        </w:tc>
        <w:tc>
          <w:tcPr>
            <w:tcW w:type="dxa" w:w="4320"/>
            <w:shd w:val="clear" w:color="auto" w:fill="FFFFFF"/>
          </w:tcPr>
          <w:p>
            <w:pPr>
              <w:spacing w:before="40" w:after="40"/>
            </w:pPr>
            <w:r>
              <w:rPr>
                <w:rFonts w:ascii="Calibri" w:hAnsi="Calibri"/>
                <w:sz w:val="18"/>
              </w:rPr>
              <w:t>Fibank brand: white surfaces, navy sidebar</w:t>
            </w:r>
          </w:p>
        </w:tc>
      </w:tr>
      <w:tr>
        <w:tc>
          <w:tcPr>
            <w:tcW w:type="dxa" w:w="2016"/>
            <w:shd w:val="clear" w:color="auto" w:fill="F5F8FD"/>
          </w:tcPr>
          <w:p>
            <w:pPr>
              <w:spacing w:before="40" w:after="40"/>
            </w:pPr>
            <w:r>
              <w:rPr>
                <w:rFonts w:ascii="Calibri" w:hAnsi="Calibri"/>
                <w:b/>
                <w:color w:val="192638"/>
                <w:sz w:val="18"/>
              </w:rPr>
              <w:t>Fonts</w:t>
            </w:r>
          </w:p>
        </w:tc>
        <w:tc>
          <w:tcPr>
            <w:tcW w:type="dxa" w:w="2880"/>
            <w:shd w:val="clear" w:color="auto" w:fill="F5F8FD"/>
          </w:tcPr>
          <w:p>
            <w:pPr>
              <w:spacing w:before="40" w:after="40"/>
            </w:pPr>
            <w:r>
              <w:rPr>
                <w:rFonts w:ascii="Calibri" w:hAnsi="Calibri"/>
                <w:sz w:val="18"/>
              </w:rPr>
              <w:t>Inter via Google Fonts</w:t>
            </w:r>
          </w:p>
        </w:tc>
        <w:tc>
          <w:tcPr>
            <w:tcW w:type="dxa" w:w="4320"/>
            <w:shd w:val="clear" w:color="auto" w:fill="F5F8FD"/>
          </w:tcPr>
          <w:p>
            <w:pPr>
              <w:spacing w:before="40" w:after="40"/>
            </w:pPr>
            <w:r>
              <w:rPr>
                <w:rFonts w:ascii="Calibri" w:hAnsi="Calibri"/>
                <w:sz w:val="18"/>
              </w:rPr>
              <w:t>Typography</w:t>
            </w:r>
          </w:p>
        </w:tc>
      </w:tr>
      <w:tr>
        <w:tc>
          <w:tcPr>
            <w:tcW w:type="dxa" w:w="2016"/>
            <w:shd w:val="clear" w:color="auto" w:fill="FFFFFF"/>
          </w:tcPr>
          <w:p>
            <w:pPr>
              <w:spacing w:before="40" w:after="40"/>
            </w:pPr>
            <w:r>
              <w:rPr>
                <w:rFonts w:ascii="Calibri" w:hAnsi="Calibri"/>
                <w:b/>
                <w:color w:val="192638"/>
                <w:sz w:val="18"/>
              </w:rPr>
              <w:t>Animation</w:t>
            </w:r>
          </w:p>
        </w:tc>
        <w:tc>
          <w:tcPr>
            <w:tcW w:type="dxa" w:w="2880"/>
            <w:shd w:val="clear" w:color="auto" w:fill="FFFFFF"/>
          </w:tcPr>
          <w:p>
            <w:pPr>
              <w:spacing w:before="40" w:after="40"/>
            </w:pPr>
            <w:r>
              <w:rPr>
                <w:rFonts w:ascii="Calibri" w:hAnsi="Calibri"/>
                <w:sz w:val="18"/>
              </w:rPr>
              <w:t>canvas-confetti CDN</w:t>
            </w:r>
          </w:p>
        </w:tc>
        <w:tc>
          <w:tcPr>
            <w:tcW w:type="dxa" w:w="4320"/>
            <w:shd w:val="clear" w:color="auto" w:fill="FFFFFF"/>
          </w:tcPr>
          <w:p>
            <w:pPr>
              <w:spacing w:before="40" w:after="40"/>
            </w:pPr>
            <w:r>
              <w:rPr>
                <w:rFonts w:ascii="Calibri" w:hAnsi="Calibri"/>
                <w:sz w:val="18"/>
              </w:rPr>
              <w:t>LOW risk success celebration</w:t>
            </w:r>
          </w:p>
        </w:tc>
      </w:tr>
      <w:tr>
        <w:tc>
          <w:tcPr>
            <w:tcW w:type="dxa" w:w="2016"/>
            <w:shd w:val="clear" w:color="auto" w:fill="F5F8FD"/>
          </w:tcPr>
          <w:p>
            <w:pPr>
              <w:spacing w:before="40" w:after="40"/>
            </w:pPr>
            <w:r>
              <w:rPr>
                <w:rFonts w:ascii="Calibri" w:hAnsi="Calibri"/>
                <w:b/>
                <w:color w:val="192638"/>
                <w:sz w:val="18"/>
              </w:rPr>
              <w:t>Session Store</w:t>
            </w:r>
          </w:p>
        </w:tc>
        <w:tc>
          <w:tcPr>
            <w:tcW w:type="dxa" w:w="2880"/>
            <w:shd w:val="clear" w:color="auto" w:fill="F5F8FD"/>
          </w:tcPr>
          <w:p>
            <w:pPr>
              <w:spacing w:before="40" w:after="40"/>
            </w:pPr>
            <w:r>
              <w:rPr>
                <w:rFonts w:ascii="Calibri" w:hAnsi="Calibri"/>
                <w:sz w:val="18"/>
              </w:rPr>
              <w:t>Flask server-side session (cookie)</w:t>
            </w:r>
          </w:p>
        </w:tc>
        <w:tc>
          <w:tcPr>
            <w:tcW w:type="dxa" w:w="4320"/>
            <w:shd w:val="clear" w:color="auto" w:fill="F5F8FD"/>
          </w:tcPr>
          <w:p>
            <w:pPr>
              <w:spacing w:before="40" w:after="40"/>
            </w:pPr>
            <w:r>
              <w:rPr>
                <w:rFonts w:ascii="Calibri" w:hAnsi="Calibri"/>
                <w:sz w:val="18"/>
              </w:rPr>
              <w:t>Signal state shared between tabs</w:t>
            </w:r>
          </w:p>
        </w:tc>
      </w:tr>
    </w:tbl>
    <w:p/>
    <w:p>
      <w:pPr>
        <w:pStyle w:val="Heading2"/>
        <w:spacing w:before="240" w:after="80"/>
      </w:pPr>
      <w:r>
        <w:t>2.2  Database Schema</w:t>
      </w:r>
    </w:p>
    <w:p>
      <w:pPr>
        <w:spacing w:before="0" w:after="100" w:line="260" w:lineRule="exact"/>
      </w:pPr>
      <w:r>
        <w:rPr>
          <w:rFonts w:ascii="Calibri" w:hAnsi="Calibri"/>
          <w:b w:val="0"/>
          <w:i w:val="0"/>
          <w:sz w:val="20"/>
        </w:rPr>
        <w:t>Three SQLite tables store all application state:</w:t>
      </w:r>
    </w:p>
    <w:p>
      <w:pPr>
        <w:spacing w:before="0" w:after="100" w:line="260" w:lineRule="exact"/>
      </w:pPr>
      <w:r>
        <w:rPr>
          <w:rFonts w:ascii="Calibri" w:hAnsi="Calibri"/>
          <w:b w:val="0"/>
          <w:i w:val="0"/>
          <w:sz w:val="20"/>
        </w:rPr>
      </w:r>
      <w:r>
        <w:rPr>
          <w:rFonts w:ascii="Calibri" w:hAnsi="Calibri"/>
          <w:b/>
          <w:i w:val="0"/>
          <w:sz w:val="20"/>
        </w:rPr>
        <w:t>users</w:t>
      </w:r>
      <w:r>
        <w:rPr>
          <w:rFonts w:ascii="Calibri" w:hAnsi="Calibri"/>
          <w:b w:val="0"/>
          <w:i w:val="0"/>
          <w:sz w:val="20"/>
        </w:rPr>
        <w:t xml:space="preserve"> (id, name, iban, balance, location, account_age_days, password) — Seeded with: Ardi Berisha, IBAN AL47 2121 1009 0000 0002 3569 8741, balance 450,000 ALL, Tirana Albania, account age 847 days.</w:t>
      </w:r>
    </w:p>
    <w:p>
      <w:pPr>
        <w:spacing w:before="0" w:after="100" w:line="260" w:lineRule="exact"/>
      </w:pPr>
      <w:r>
        <w:rPr>
          <w:rFonts w:ascii="Calibri" w:hAnsi="Calibri"/>
          <w:b w:val="0"/>
          <w:i w:val="0"/>
          <w:sz w:val="20"/>
        </w:rPr>
      </w:r>
      <w:r>
        <w:rPr>
          <w:rFonts w:ascii="Calibri" w:hAnsi="Calibri"/>
          <w:b/>
          <w:i w:val="0"/>
          <w:sz w:val="20"/>
        </w:rPr>
        <w:t>transactions</w:t>
      </w:r>
      <w:r>
        <w:rPr>
          <w:rFonts w:ascii="Calibri" w:hAnsi="Calibri"/>
          <w:b w:val="0"/>
          <w:i w:val="0"/>
          <w:sz w:val="20"/>
        </w:rPr>
        <w:t xml:space="preserve"> (id, user_id, amount, recipient_name, recipient_iban, timestamp, risk_score, risk_level, triggered_signals JSON, status) — Status values: completed, blocked, pending. triggered_signals stored as a JSON array providing a full audit trail of every signal that contributed to each decision.</w:t>
      </w:r>
    </w:p>
    <w:p>
      <w:pPr>
        <w:spacing w:before="0" w:after="100" w:line="260" w:lineRule="exact"/>
      </w:pPr>
      <w:r>
        <w:rPr>
          <w:rFonts w:ascii="Calibri" w:hAnsi="Calibri"/>
          <w:b w:val="0"/>
          <w:i w:val="0"/>
          <w:sz w:val="20"/>
        </w:rPr>
      </w:r>
      <w:r>
        <w:rPr>
          <w:rFonts w:ascii="Calibri" w:hAnsi="Calibri"/>
          <w:b/>
          <w:i w:val="0"/>
          <w:sz w:val="20"/>
        </w:rPr>
        <w:t>saved_recipients</w:t>
      </w:r>
      <w:r>
        <w:rPr>
          <w:rFonts w:ascii="Calibri" w:hAnsi="Calibri"/>
          <w:b w:val="0"/>
          <w:i w:val="0"/>
          <w:sz w:val="20"/>
        </w:rPr>
        <w:t xml:space="preserve"> (id, user_id, name, iban) — Pre-seeded with two known payees. Any IBAN in this table is treated as a historical payee (is_historical_payee = 1). New additions via the Add Recipient flow are immediately added to the known-IBAN set in JavaScript memory.</w:t>
      </w:r>
    </w:p>
    <w:p>
      <w:pPr>
        <w:pStyle w:val="Heading2"/>
        <w:spacing w:before="240" w:after="80"/>
      </w:pPr>
      <w:r>
        <w:t>2.3  API Endpoints</w:t>
      </w:r>
    </w:p>
    <w:p>
      <w:pPr>
        <w:spacing w:before="0" w:after="100" w:line="260" w:lineRule="exact"/>
      </w:pPr>
      <w:r>
        <w:rPr>
          <w:rFonts w:ascii="Calibri" w:hAnsi="Calibri"/>
          <w:b w:val="0"/>
          <w:i w:val="0"/>
          <w:sz w:val="20"/>
        </w:rPr>
        <w:t>The application exposes 18 API endpoints. All endpoints use JSON. Signal reporting endpoints are fire-and-forget — the browser does not wait for a response before continuing.</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0D47A1"/>
          </w:tcPr>
          <w:p>
            <w:pPr>
              <w:spacing w:before="60" w:after="60"/>
            </w:pPr>
            <w:r>
              <w:rPr>
                <w:rFonts w:ascii="Calibri" w:hAnsi="Calibri"/>
                <w:b/>
                <w:color w:val="FFFFFF"/>
                <w:sz w:val="18"/>
              </w:rPr>
              <w:t>Method</w:t>
            </w:r>
          </w:p>
        </w:tc>
        <w:tc>
          <w:tcPr>
            <w:tcW w:type="dxa" w:w="3168"/>
            <w:shd w:val="clear" w:color="auto" w:fill="0D47A1"/>
          </w:tcPr>
          <w:p>
            <w:pPr>
              <w:spacing w:before="60" w:after="60"/>
            </w:pPr>
            <w:r>
              <w:rPr>
                <w:rFonts w:ascii="Calibri" w:hAnsi="Calibri"/>
                <w:b/>
                <w:color w:val="FFFFFF"/>
                <w:sz w:val="18"/>
              </w:rPr>
              <w:t>Endpoint</w:t>
            </w:r>
          </w:p>
        </w:tc>
        <w:tc>
          <w:tcPr>
            <w:tcW w:type="dxa" w:w="5040"/>
            <w:shd w:val="clear" w:color="auto" w:fill="0D47A1"/>
          </w:tcPr>
          <w:p>
            <w:pPr>
              <w:spacing w:before="60" w:after="60"/>
            </w:pPr>
            <w:r>
              <w:rPr>
                <w:rFonts w:ascii="Calibri" w:hAnsi="Calibri"/>
                <w:b/>
                <w:color w:val="FFFFFF"/>
                <w:sz w:val="18"/>
              </w:rPr>
              <w:t>Function</w:t>
            </w:r>
          </w:p>
        </w:tc>
      </w:tr>
      <w:tr>
        <w:tc>
          <w:tcPr>
            <w:tcW w:type="dxa" w:w="1008"/>
            <w:shd w:val="clear" w:color="auto" w:fill="F5F8FD"/>
          </w:tcPr>
          <w:p>
            <w:pPr>
              <w:spacing w:before="40" w:after="40"/>
            </w:pPr>
            <w:r>
              <w:rPr>
                <w:rFonts w:ascii="Calibri" w:hAnsi="Calibri"/>
                <w:b/>
                <w:color w:val="192638"/>
                <w:sz w:val="18"/>
              </w:rPr>
              <w:t>POST</w:t>
            </w:r>
          </w:p>
        </w:tc>
        <w:tc>
          <w:tcPr>
            <w:tcW w:type="dxa" w:w="3168"/>
            <w:shd w:val="clear" w:color="auto" w:fill="F5F8FD"/>
          </w:tcPr>
          <w:p>
            <w:pPr>
              <w:spacing w:before="40" w:after="40"/>
            </w:pPr>
            <w:r>
              <w:rPr>
                <w:rFonts w:ascii="Calibri" w:hAnsi="Calibri"/>
                <w:sz w:val="18"/>
              </w:rPr>
              <w:t>/api/login</w:t>
            </w:r>
          </w:p>
        </w:tc>
        <w:tc>
          <w:tcPr>
            <w:tcW w:type="dxa" w:w="5040"/>
            <w:shd w:val="clear" w:color="auto" w:fill="F5F8FD"/>
          </w:tcPr>
          <w:p>
            <w:pPr>
              <w:spacing w:before="40" w:after="40"/>
            </w:pPr>
            <w:r>
              <w:rPr>
                <w:rFonts w:ascii="Calibri" w:hAnsi="Calibri"/>
                <w:sz w:val="18"/>
              </w:rPr>
              <w:t>Credential check; sets session user_id and login_time</w:t>
            </w:r>
          </w:p>
        </w:tc>
      </w:tr>
      <w:tr>
        <w:tc>
          <w:tcPr>
            <w:tcW w:type="dxa" w:w="1008"/>
            <w:shd w:val="clear" w:color="auto" w:fill="FFFFFF"/>
          </w:tcPr>
          <w:p>
            <w:pPr>
              <w:spacing w:before="40" w:after="40"/>
            </w:pPr>
            <w:r>
              <w:rPr>
                <w:rFonts w:ascii="Calibri" w:hAnsi="Calibri"/>
                <w:b/>
                <w:color w:val="192638"/>
                <w:sz w:val="18"/>
              </w:rPr>
              <w:t>POST</w:t>
            </w:r>
          </w:p>
        </w:tc>
        <w:tc>
          <w:tcPr>
            <w:tcW w:type="dxa" w:w="3168"/>
            <w:shd w:val="clear" w:color="auto" w:fill="FFFFFF"/>
          </w:tcPr>
          <w:p>
            <w:pPr>
              <w:spacing w:before="40" w:after="40"/>
            </w:pPr>
            <w:r>
              <w:rPr>
                <w:rFonts w:ascii="Calibri" w:hAnsi="Calibri"/>
                <w:sz w:val="18"/>
              </w:rPr>
              <w:t>/api/logout</w:t>
            </w:r>
          </w:p>
        </w:tc>
        <w:tc>
          <w:tcPr>
            <w:tcW w:type="dxa" w:w="5040"/>
            <w:shd w:val="clear" w:color="auto" w:fill="FFFFFF"/>
          </w:tcPr>
          <w:p>
            <w:pPr>
              <w:spacing w:before="40" w:after="40"/>
            </w:pPr>
            <w:r>
              <w:rPr>
                <w:rFonts w:ascii="Calibri" w:hAnsi="Calibri"/>
                <w:sz w:val="18"/>
              </w:rPr>
              <w:t>Clears all session data</w:t>
            </w:r>
          </w:p>
        </w:tc>
      </w:tr>
      <w:tr>
        <w:tc>
          <w:tcPr>
            <w:tcW w:type="dxa" w:w="1008"/>
            <w:shd w:val="clear" w:color="auto" w:fill="F5F8FD"/>
          </w:tcPr>
          <w:p>
            <w:pPr>
              <w:spacing w:before="40" w:after="40"/>
            </w:pPr>
            <w:r>
              <w:rPr>
                <w:rFonts w:ascii="Calibri" w:hAnsi="Calibri"/>
                <w:b/>
                <w:color w:val="192638"/>
                <w:sz w:val="18"/>
              </w:rPr>
              <w:t>GET</w:t>
            </w:r>
          </w:p>
        </w:tc>
        <w:tc>
          <w:tcPr>
            <w:tcW w:type="dxa" w:w="3168"/>
            <w:shd w:val="clear" w:color="auto" w:fill="F5F8FD"/>
          </w:tcPr>
          <w:p>
            <w:pPr>
              <w:spacing w:before="40" w:after="40"/>
            </w:pPr>
            <w:r>
              <w:rPr>
                <w:rFonts w:ascii="Calibri" w:hAnsi="Calibri"/>
                <w:sz w:val="18"/>
              </w:rPr>
              <w:t>/api/user</w:t>
            </w:r>
          </w:p>
        </w:tc>
        <w:tc>
          <w:tcPr>
            <w:tcW w:type="dxa" w:w="5040"/>
            <w:shd w:val="clear" w:color="auto" w:fill="F5F8FD"/>
          </w:tcPr>
          <w:p>
            <w:pPr>
              <w:spacing w:before="40" w:after="40"/>
            </w:pPr>
            <w:r>
              <w:rPr>
                <w:rFonts w:ascii="Calibri" w:hAnsi="Calibri"/>
                <w:sz w:val="18"/>
              </w:rPr>
              <w:t>Returns user record + full transaction history</w:t>
            </w:r>
          </w:p>
        </w:tc>
      </w:tr>
      <w:tr>
        <w:tc>
          <w:tcPr>
            <w:tcW w:type="dxa" w:w="1008"/>
            <w:shd w:val="clear" w:color="auto" w:fill="FFFFFF"/>
          </w:tcPr>
          <w:p>
            <w:pPr>
              <w:spacing w:before="40" w:after="40"/>
            </w:pPr>
            <w:r>
              <w:rPr>
                <w:rFonts w:ascii="Calibri" w:hAnsi="Calibri"/>
                <w:b/>
                <w:color w:val="192638"/>
                <w:sz w:val="18"/>
              </w:rPr>
              <w:t>POST</w:t>
            </w:r>
          </w:p>
        </w:tc>
        <w:tc>
          <w:tcPr>
            <w:tcW w:type="dxa" w:w="3168"/>
            <w:shd w:val="clear" w:color="auto" w:fill="FFFFFF"/>
          </w:tcPr>
          <w:p>
            <w:pPr>
              <w:spacing w:before="40" w:after="40"/>
            </w:pPr>
            <w:r>
              <w:rPr>
                <w:rFonts w:ascii="Calibri" w:hAnsi="Calibri"/>
                <w:sz w:val="18"/>
              </w:rPr>
              <w:t>/api/score</w:t>
            </w:r>
          </w:p>
        </w:tc>
        <w:tc>
          <w:tcPr>
            <w:tcW w:type="dxa" w:w="5040"/>
            <w:shd w:val="clear" w:color="auto" w:fill="FFFFFF"/>
          </w:tcPr>
          <w:p>
            <w:pPr>
              <w:spacing w:before="40" w:after="40"/>
            </w:pPr>
            <w:r>
              <w:rPr>
                <w:rFonts w:ascii="Calibri" w:hAnsi="Calibri"/>
                <w:sz w:val="18"/>
              </w:rPr>
              <w:t>Core scoring: builds 27-feature vector, runs rule engine, returns risk_score/level/explanation/signals</w:t>
            </w:r>
          </w:p>
        </w:tc>
      </w:tr>
      <w:tr>
        <w:tc>
          <w:tcPr>
            <w:tcW w:type="dxa" w:w="1008"/>
            <w:shd w:val="clear" w:color="auto" w:fill="F5F8FD"/>
          </w:tcPr>
          <w:p>
            <w:pPr>
              <w:spacing w:before="40" w:after="40"/>
            </w:pPr>
            <w:r>
              <w:rPr>
                <w:rFonts w:ascii="Calibri" w:hAnsi="Calibri"/>
                <w:b/>
                <w:color w:val="192638"/>
                <w:sz w:val="18"/>
              </w:rPr>
              <w:t>POST</w:t>
            </w:r>
          </w:p>
        </w:tc>
        <w:tc>
          <w:tcPr>
            <w:tcW w:type="dxa" w:w="3168"/>
            <w:shd w:val="clear" w:color="auto" w:fill="F5F8FD"/>
          </w:tcPr>
          <w:p>
            <w:pPr>
              <w:spacing w:before="40" w:after="40"/>
            </w:pPr>
            <w:r>
              <w:rPr>
                <w:rFonts w:ascii="Calibri" w:hAnsi="Calibri"/>
                <w:sz w:val="18"/>
              </w:rPr>
              <w:t>/api/transfer</w:t>
            </w:r>
          </w:p>
        </w:tc>
        <w:tc>
          <w:tcPr>
            <w:tcW w:type="dxa" w:w="5040"/>
            <w:shd w:val="clear" w:color="auto" w:fill="F5F8FD"/>
          </w:tcPr>
          <w:p>
            <w:pPr>
              <w:spacing w:before="40" w:after="40"/>
            </w:pPr>
            <w:r>
              <w:rPr>
                <w:rFonts w:ascii="Calibri" w:hAnsi="Calibri"/>
                <w:sz w:val="18"/>
              </w:rPr>
              <w:t>Persists transfer; deducts balance on status=completed</w:t>
            </w:r>
          </w:p>
        </w:tc>
      </w:tr>
      <w:tr>
        <w:tc>
          <w:tcPr>
            <w:tcW w:type="dxa" w:w="1008"/>
            <w:shd w:val="clear" w:color="auto" w:fill="FFFFFF"/>
          </w:tcPr>
          <w:p>
            <w:pPr>
              <w:spacing w:before="40" w:after="40"/>
            </w:pPr>
            <w:r>
              <w:rPr>
                <w:rFonts w:ascii="Calibri" w:hAnsi="Calibri"/>
                <w:b/>
                <w:color w:val="192638"/>
                <w:sz w:val="18"/>
              </w:rPr>
              <w:t>POST</w:t>
            </w:r>
          </w:p>
        </w:tc>
        <w:tc>
          <w:tcPr>
            <w:tcW w:type="dxa" w:w="3168"/>
            <w:shd w:val="clear" w:color="auto" w:fill="FFFFFF"/>
          </w:tcPr>
          <w:p>
            <w:pPr>
              <w:spacing w:before="40" w:after="40"/>
            </w:pPr>
            <w:r>
              <w:rPr>
                <w:rFonts w:ascii="Calibri" w:hAnsi="Calibri"/>
                <w:sz w:val="18"/>
              </w:rPr>
              <w:t>/api/update-profile</w:t>
            </w:r>
          </w:p>
        </w:tc>
        <w:tc>
          <w:tcPr>
            <w:tcW w:type="dxa" w:w="5040"/>
            <w:shd w:val="clear" w:color="auto" w:fill="FFFFFF"/>
          </w:tcPr>
          <w:p>
            <w:pPr>
              <w:spacing w:before="40" w:after="40"/>
            </w:pPr>
            <w:r>
              <w:rPr>
                <w:rFonts w:ascii="Calibri" w:hAnsi="Calibri"/>
                <w:sz w:val="18"/>
              </w:rPr>
              <w:t>Updates name/location; sets session profile_updated=1</w:t>
            </w:r>
          </w:p>
        </w:tc>
      </w:tr>
      <w:tr>
        <w:tc>
          <w:tcPr>
            <w:tcW w:type="dxa" w:w="1008"/>
            <w:shd w:val="clear" w:color="auto" w:fill="F5F8FD"/>
          </w:tcPr>
          <w:p>
            <w:pPr>
              <w:spacing w:before="40" w:after="40"/>
            </w:pPr>
            <w:r>
              <w:rPr>
                <w:rFonts w:ascii="Calibri" w:hAnsi="Calibri"/>
                <w:b/>
                <w:color w:val="192638"/>
                <w:sz w:val="18"/>
              </w:rPr>
              <w:t>POST</w:t>
            </w:r>
          </w:p>
        </w:tc>
        <w:tc>
          <w:tcPr>
            <w:tcW w:type="dxa" w:w="3168"/>
            <w:shd w:val="clear" w:color="auto" w:fill="F5F8FD"/>
          </w:tcPr>
          <w:p>
            <w:pPr>
              <w:spacing w:before="40" w:after="40"/>
            </w:pPr>
            <w:r>
              <w:rPr>
                <w:rFonts w:ascii="Calibri" w:hAnsi="Calibri"/>
                <w:sz w:val="18"/>
              </w:rPr>
              <w:t>/api/presenter/set-signals</w:t>
            </w:r>
          </w:p>
        </w:tc>
        <w:tc>
          <w:tcPr>
            <w:tcW w:type="dxa" w:w="5040"/>
            <w:shd w:val="clear" w:color="auto" w:fill="F5F8FD"/>
          </w:tcPr>
          <w:p>
            <w:pPr>
              <w:spacing w:before="40" w:after="40"/>
            </w:pPr>
            <w:r>
              <w:rPr>
                <w:rFonts w:ascii="Calibri" w:hAnsi="Calibri"/>
                <w:sz w:val="18"/>
              </w:rPr>
              <w:t>Writes presenter signal overrides into Flask session</w:t>
            </w:r>
          </w:p>
        </w:tc>
      </w:tr>
      <w:tr>
        <w:tc>
          <w:tcPr>
            <w:tcW w:type="dxa" w:w="1008"/>
            <w:shd w:val="clear" w:color="auto" w:fill="FFFFFF"/>
          </w:tcPr>
          <w:p>
            <w:pPr>
              <w:spacing w:before="40" w:after="40"/>
            </w:pPr>
            <w:r>
              <w:rPr>
                <w:rFonts w:ascii="Calibri" w:hAnsi="Calibri"/>
                <w:b/>
                <w:color w:val="192638"/>
                <w:sz w:val="18"/>
              </w:rPr>
              <w:t>GET</w:t>
            </w:r>
          </w:p>
        </w:tc>
        <w:tc>
          <w:tcPr>
            <w:tcW w:type="dxa" w:w="3168"/>
            <w:shd w:val="clear" w:color="auto" w:fill="FFFFFF"/>
          </w:tcPr>
          <w:p>
            <w:pPr>
              <w:spacing w:before="40" w:after="40"/>
            </w:pPr>
            <w:r>
              <w:rPr>
                <w:rFonts w:ascii="Calibri" w:hAnsi="Calibri"/>
                <w:sz w:val="18"/>
              </w:rPr>
              <w:t>/api/reset-session</w:t>
            </w:r>
          </w:p>
        </w:tc>
        <w:tc>
          <w:tcPr>
            <w:tcW w:type="dxa" w:w="5040"/>
            <w:shd w:val="clear" w:color="auto" w:fill="FFFFFF"/>
          </w:tcPr>
          <w:p>
            <w:pPr>
              <w:spacing w:before="40" w:after="40"/>
            </w:pPr>
            <w:r>
              <w:rPr>
                <w:rFonts w:ascii="Calibri" w:hAnsi="Calibri"/>
                <w:sz w:val="18"/>
              </w:rPr>
              <w:t>Clears all 8 session signal flags</w:t>
            </w:r>
          </w:p>
        </w:tc>
      </w:tr>
      <w:tr>
        <w:tc>
          <w:tcPr>
            <w:tcW w:type="dxa" w:w="1008"/>
            <w:shd w:val="clear" w:color="auto" w:fill="F5F8FD"/>
          </w:tcPr>
          <w:p>
            <w:pPr>
              <w:spacing w:before="40" w:after="40"/>
            </w:pPr>
            <w:r>
              <w:rPr>
                <w:rFonts w:ascii="Calibri" w:hAnsi="Calibri"/>
                <w:b/>
                <w:color w:val="192638"/>
                <w:sz w:val="18"/>
              </w:rPr>
              <w:t>GET</w:t>
            </w:r>
          </w:p>
        </w:tc>
        <w:tc>
          <w:tcPr>
            <w:tcW w:type="dxa" w:w="3168"/>
            <w:shd w:val="clear" w:color="auto" w:fill="F5F8FD"/>
          </w:tcPr>
          <w:p>
            <w:pPr>
              <w:spacing w:before="40" w:after="40"/>
            </w:pPr>
            <w:r>
              <w:rPr>
                <w:rFonts w:ascii="Calibri" w:hAnsi="Calibri"/>
                <w:sz w:val="18"/>
              </w:rPr>
              <w:t>/api/session-status</w:t>
            </w:r>
          </w:p>
        </w:tc>
        <w:tc>
          <w:tcPr>
            <w:tcW w:type="dxa" w:w="5040"/>
            <w:shd w:val="clear" w:color="auto" w:fill="F5F8FD"/>
          </w:tcPr>
          <w:p>
            <w:pPr>
              <w:spacing w:before="40" w:after="40"/>
            </w:pPr>
            <w:r>
              <w:rPr>
                <w:rFonts w:ascii="Calibri" w:hAnsi="Calibri"/>
                <w:sz w:val="18"/>
              </w:rPr>
              <w:t>Returns all 7 auto-detected flag states + presenter_signals</w:t>
            </w:r>
          </w:p>
        </w:tc>
      </w:tr>
      <w:tr>
        <w:tc>
          <w:tcPr>
            <w:tcW w:type="dxa" w:w="1008"/>
            <w:shd w:val="clear" w:color="auto" w:fill="FFFFFF"/>
          </w:tcPr>
          <w:p>
            <w:pPr>
              <w:spacing w:before="40" w:after="40"/>
            </w:pPr>
            <w:r>
              <w:rPr>
                <w:rFonts w:ascii="Calibri" w:hAnsi="Calibri"/>
                <w:b/>
                <w:color w:val="192638"/>
                <w:sz w:val="18"/>
              </w:rPr>
              <w:t>POST</w:t>
            </w:r>
          </w:p>
        </w:tc>
        <w:tc>
          <w:tcPr>
            <w:tcW w:type="dxa" w:w="3168"/>
            <w:shd w:val="clear" w:color="auto" w:fill="FFFFFF"/>
          </w:tcPr>
          <w:p>
            <w:pPr>
              <w:spacing w:before="40" w:after="40"/>
            </w:pPr>
            <w:r>
              <w:rPr>
                <w:rFonts w:ascii="Calibri" w:hAnsi="Calibri"/>
                <w:sz w:val="18"/>
              </w:rPr>
              <w:t>/api/report-paste</w:t>
            </w:r>
          </w:p>
        </w:tc>
        <w:tc>
          <w:tcPr>
            <w:tcW w:type="dxa" w:w="5040"/>
            <w:shd w:val="clear" w:color="auto" w:fill="FFFFFF"/>
          </w:tcPr>
          <w:p>
            <w:pPr>
              <w:spacing w:before="40" w:after="40"/>
            </w:pPr>
            <w:r>
              <w:rPr>
                <w:rFonts w:ascii="Calibri" w:hAnsi="Calibri"/>
                <w:sz w:val="18"/>
              </w:rPr>
              <w:t>Sets session password_pasted=1</w:t>
            </w:r>
          </w:p>
        </w:tc>
      </w:tr>
      <w:tr>
        <w:tc>
          <w:tcPr>
            <w:tcW w:type="dxa" w:w="1008"/>
            <w:shd w:val="clear" w:color="auto" w:fill="F5F8FD"/>
          </w:tcPr>
          <w:p>
            <w:pPr>
              <w:spacing w:before="40" w:after="40"/>
            </w:pPr>
            <w:r>
              <w:rPr>
                <w:rFonts w:ascii="Calibri" w:hAnsi="Calibri"/>
                <w:b/>
                <w:color w:val="192638"/>
                <w:sz w:val="18"/>
              </w:rPr>
              <w:t>POST</w:t>
            </w:r>
          </w:p>
        </w:tc>
        <w:tc>
          <w:tcPr>
            <w:tcW w:type="dxa" w:w="3168"/>
            <w:shd w:val="clear" w:color="auto" w:fill="F5F8FD"/>
          </w:tcPr>
          <w:p>
            <w:pPr>
              <w:spacing w:before="40" w:after="40"/>
            </w:pPr>
            <w:r>
              <w:rPr>
                <w:rFonts w:ascii="Calibri" w:hAnsi="Calibri"/>
                <w:sz w:val="18"/>
              </w:rPr>
              <w:t>/api/report-clipboard</w:t>
            </w:r>
          </w:p>
        </w:tc>
        <w:tc>
          <w:tcPr>
            <w:tcW w:type="dxa" w:w="5040"/>
            <w:shd w:val="clear" w:color="auto" w:fill="F5F8FD"/>
          </w:tcPr>
          <w:p>
            <w:pPr>
              <w:spacing w:before="40" w:after="40"/>
            </w:pPr>
            <w:r>
              <w:rPr>
                <w:rFonts w:ascii="Calibri" w:hAnsi="Calibri"/>
                <w:sz w:val="18"/>
              </w:rPr>
              <w:t>Sets session clipboard_activity=1</w:t>
            </w:r>
          </w:p>
        </w:tc>
      </w:tr>
      <w:tr>
        <w:tc>
          <w:tcPr>
            <w:tcW w:type="dxa" w:w="1008"/>
            <w:shd w:val="clear" w:color="auto" w:fill="FFFFFF"/>
          </w:tcPr>
          <w:p>
            <w:pPr>
              <w:spacing w:before="40" w:after="40"/>
            </w:pPr>
            <w:r>
              <w:rPr>
                <w:rFonts w:ascii="Calibri" w:hAnsi="Calibri"/>
                <w:b/>
                <w:color w:val="192638"/>
                <w:sz w:val="18"/>
              </w:rPr>
              <w:t>POST</w:t>
            </w:r>
          </w:p>
        </w:tc>
        <w:tc>
          <w:tcPr>
            <w:tcW w:type="dxa" w:w="3168"/>
            <w:shd w:val="clear" w:color="auto" w:fill="FFFFFF"/>
          </w:tcPr>
          <w:p>
            <w:pPr>
              <w:spacing w:before="40" w:after="40"/>
            </w:pPr>
            <w:r>
              <w:rPr>
                <w:rFonts w:ascii="Calibri" w:hAnsi="Calibri"/>
                <w:sz w:val="18"/>
              </w:rPr>
              <w:t>/api/report-tab-switch</w:t>
            </w:r>
          </w:p>
        </w:tc>
        <w:tc>
          <w:tcPr>
            <w:tcW w:type="dxa" w:w="5040"/>
            <w:shd w:val="clear" w:color="auto" w:fill="FFFFFF"/>
          </w:tcPr>
          <w:p>
            <w:pPr>
              <w:spacing w:before="40" w:after="40"/>
            </w:pPr>
            <w:r>
              <w:rPr>
                <w:rFonts w:ascii="Calibri" w:hAnsi="Calibri"/>
                <w:sz w:val="18"/>
              </w:rPr>
              <w:t>Sets session tab_switched=1</w:t>
            </w:r>
          </w:p>
        </w:tc>
      </w:tr>
      <w:tr>
        <w:tc>
          <w:tcPr>
            <w:tcW w:type="dxa" w:w="1008"/>
            <w:shd w:val="clear" w:color="auto" w:fill="F5F8FD"/>
          </w:tcPr>
          <w:p>
            <w:pPr>
              <w:spacing w:before="40" w:after="40"/>
            </w:pPr>
            <w:r>
              <w:rPr>
                <w:rFonts w:ascii="Calibri" w:hAnsi="Calibri"/>
                <w:b/>
                <w:color w:val="192638"/>
                <w:sz w:val="18"/>
              </w:rPr>
              <w:t>POST</w:t>
            </w:r>
          </w:p>
        </w:tc>
        <w:tc>
          <w:tcPr>
            <w:tcW w:type="dxa" w:w="3168"/>
            <w:shd w:val="clear" w:color="auto" w:fill="F5F8FD"/>
          </w:tcPr>
          <w:p>
            <w:pPr>
              <w:spacing w:before="40" w:after="40"/>
            </w:pPr>
            <w:r>
              <w:rPr>
                <w:rFonts w:ascii="Calibri" w:hAnsi="Calibri"/>
                <w:sz w:val="18"/>
              </w:rPr>
              <w:t>/api/report-referrer</w:t>
            </w:r>
          </w:p>
        </w:tc>
        <w:tc>
          <w:tcPr>
            <w:tcW w:type="dxa" w:w="5040"/>
            <w:shd w:val="clear" w:color="auto" w:fill="F5F8FD"/>
          </w:tcPr>
          <w:p>
            <w:pPr>
              <w:spacing w:before="40" w:after="40"/>
            </w:pPr>
            <w:r>
              <w:rPr>
                <w:rFonts w:ascii="Calibri" w:hAnsi="Calibri"/>
                <w:sz w:val="18"/>
              </w:rPr>
              <w:t>Sets session session_from_link=1</w:t>
            </w:r>
          </w:p>
        </w:tc>
      </w:tr>
      <w:tr>
        <w:tc>
          <w:tcPr>
            <w:tcW w:type="dxa" w:w="1008"/>
            <w:shd w:val="clear" w:color="auto" w:fill="FFFFFF"/>
          </w:tcPr>
          <w:p>
            <w:pPr>
              <w:spacing w:before="40" w:after="40"/>
            </w:pPr>
            <w:r>
              <w:rPr>
                <w:rFonts w:ascii="Calibri" w:hAnsi="Calibri"/>
                <w:b/>
                <w:color w:val="192638"/>
                <w:sz w:val="18"/>
              </w:rPr>
              <w:t>POST</w:t>
            </w:r>
          </w:p>
        </w:tc>
        <w:tc>
          <w:tcPr>
            <w:tcW w:type="dxa" w:w="3168"/>
            <w:shd w:val="clear" w:color="auto" w:fill="FFFFFF"/>
          </w:tcPr>
          <w:p>
            <w:pPr>
              <w:spacing w:before="40" w:after="40"/>
            </w:pPr>
            <w:r>
              <w:rPr>
                <w:rFonts w:ascii="Calibri" w:hAnsi="Calibri"/>
                <w:sz w:val="18"/>
              </w:rPr>
              <w:t>/api/report-unknown-iban</w:t>
            </w:r>
          </w:p>
        </w:tc>
        <w:tc>
          <w:tcPr>
            <w:tcW w:type="dxa" w:w="5040"/>
            <w:shd w:val="clear" w:color="auto" w:fill="FFFFFF"/>
          </w:tcPr>
          <w:p>
            <w:pPr>
              <w:spacing w:before="40" w:after="40"/>
            </w:pPr>
            <w:r>
              <w:rPr>
                <w:rFonts w:ascii="Calibri" w:hAnsi="Calibri"/>
                <w:sz w:val="18"/>
              </w:rPr>
              <w:t>Sets session unknown_iban=1</w:t>
            </w:r>
          </w:p>
        </w:tc>
      </w:tr>
      <w:tr>
        <w:tc>
          <w:tcPr>
            <w:tcW w:type="dxa" w:w="1008"/>
            <w:shd w:val="clear" w:color="auto" w:fill="F5F8FD"/>
          </w:tcPr>
          <w:p>
            <w:pPr>
              <w:spacing w:before="40" w:after="40"/>
            </w:pPr>
            <w:r>
              <w:rPr>
                <w:rFonts w:ascii="Calibri" w:hAnsi="Calibri"/>
                <w:b/>
                <w:color w:val="192638"/>
                <w:sz w:val="18"/>
              </w:rPr>
              <w:t>GET</w:t>
            </w:r>
          </w:p>
        </w:tc>
        <w:tc>
          <w:tcPr>
            <w:tcW w:type="dxa" w:w="3168"/>
            <w:shd w:val="clear" w:color="auto" w:fill="F5F8FD"/>
          </w:tcPr>
          <w:p>
            <w:pPr>
              <w:spacing w:before="40" w:after="40"/>
            </w:pPr>
            <w:r>
              <w:rPr>
                <w:rFonts w:ascii="Calibri" w:hAnsi="Calibri"/>
                <w:sz w:val="18"/>
              </w:rPr>
              <w:t>/api/recipients</w:t>
            </w:r>
          </w:p>
        </w:tc>
        <w:tc>
          <w:tcPr>
            <w:tcW w:type="dxa" w:w="5040"/>
            <w:shd w:val="clear" w:color="auto" w:fill="F5F8FD"/>
          </w:tcPr>
          <w:p>
            <w:pPr>
              <w:spacing w:before="40" w:after="40"/>
            </w:pPr>
            <w:r>
              <w:rPr>
                <w:rFonts w:ascii="Calibri" w:hAnsi="Calibri"/>
                <w:sz w:val="18"/>
              </w:rPr>
              <w:t>Returns saved recipients list</w:t>
            </w:r>
          </w:p>
        </w:tc>
      </w:tr>
      <w:tr>
        <w:tc>
          <w:tcPr>
            <w:tcW w:type="dxa" w:w="1008"/>
            <w:shd w:val="clear" w:color="auto" w:fill="FFFFFF"/>
          </w:tcPr>
          <w:p>
            <w:pPr>
              <w:spacing w:before="40" w:after="40"/>
            </w:pPr>
            <w:r>
              <w:rPr>
                <w:rFonts w:ascii="Calibri" w:hAnsi="Calibri"/>
                <w:b/>
                <w:color w:val="192638"/>
                <w:sz w:val="18"/>
              </w:rPr>
              <w:t>POST</w:t>
            </w:r>
          </w:p>
        </w:tc>
        <w:tc>
          <w:tcPr>
            <w:tcW w:type="dxa" w:w="3168"/>
            <w:shd w:val="clear" w:color="auto" w:fill="FFFFFF"/>
          </w:tcPr>
          <w:p>
            <w:pPr>
              <w:spacing w:before="40" w:after="40"/>
            </w:pPr>
            <w:r>
              <w:rPr>
                <w:rFonts w:ascii="Calibri" w:hAnsi="Calibri"/>
                <w:sz w:val="18"/>
              </w:rPr>
              <w:t>/api/recipients/add</w:t>
            </w:r>
          </w:p>
        </w:tc>
        <w:tc>
          <w:tcPr>
            <w:tcW w:type="dxa" w:w="5040"/>
            <w:shd w:val="clear" w:color="auto" w:fill="FFFFFF"/>
          </w:tcPr>
          <w:p>
            <w:pPr>
              <w:spacing w:before="40" w:after="40"/>
            </w:pPr>
            <w:r>
              <w:rPr>
                <w:rFonts w:ascii="Calibri" w:hAnsi="Calibri"/>
                <w:sz w:val="18"/>
              </w:rPr>
              <w:t>Inserts new recipient; sets session new_recipient=1</w:t>
            </w:r>
          </w:p>
        </w:tc>
      </w:tr>
      <w:tr>
        <w:tc>
          <w:tcPr>
            <w:tcW w:type="dxa" w:w="1008"/>
            <w:shd w:val="clear" w:color="auto" w:fill="F5F8FD"/>
          </w:tcPr>
          <w:p>
            <w:pPr>
              <w:spacing w:before="40" w:after="40"/>
            </w:pPr>
            <w:r>
              <w:rPr>
                <w:rFonts w:ascii="Calibri" w:hAnsi="Calibri"/>
                <w:b/>
                <w:color w:val="192638"/>
                <w:sz w:val="18"/>
              </w:rPr>
              <w:t>POST</w:t>
            </w:r>
          </w:p>
        </w:tc>
        <w:tc>
          <w:tcPr>
            <w:tcW w:type="dxa" w:w="3168"/>
            <w:shd w:val="clear" w:color="auto" w:fill="F5F8FD"/>
          </w:tcPr>
          <w:p>
            <w:pPr>
              <w:spacing w:before="40" w:after="40"/>
            </w:pPr>
            <w:r>
              <w:rPr>
                <w:rFonts w:ascii="Calibri" w:hAnsi="Calibri"/>
                <w:sz w:val="18"/>
              </w:rPr>
              <w:t>/api/clear-history</w:t>
            </w:r>
          </w:p>
        </w:tc>
        <w:tc>
          <w:tcPr>
            <w:tcW w:type="dxa" w:w="5040"/>
            <w:shd w:val="clear" w:color="auto" w:fill="F5F8FD"/>
          </w:tcPr>
          <w:p>
            <w:pPr>
              <w:spacing w:before="40" w:after="40"/>
            </w:pPr>
            <w:r>
              <w:rPr>
                <w:rFonts w:ascii="Calibri" w:hAnsi="Calibri"/>
                <w:sz w:val="18"/>
              </w:rPr>
              <w:t>Wipes demo transactions; restores seed data (presenter)</w:t>
            </w:r>
          </w:p>
        </w:tc>
      </w:tr>
    </w:tbl>
    <w:p/>
    <w:p>
      <w:pPr>
        <w:pStyle w:val="Heading2"/>
        <w:spacing w:before="240" w:after="80"/>
      </w:pPr>
      <w:r>
        <w:t>2.4  Session Architecture — The Presenter Bridge</w:t>
      </w:r>
    </w:p>
    <w:p>
      <w:pPr>
        <w:spacing w:before="0" w:after="100" w:line="260" w:lineRule="exact"/>
      </w:pPr>
      <w:r>
        <w:rPr>
          <w:rFonts w:ascii="Calibri" w:hAnsi="Calibri"/>
          <w:b w:val="0"/>
          <w:i w:val="0"/>
          <w:sz w:val="20"/>
        </w:rPr>
        <w:t>The Flask session object is the communication bridge between the customer-facing tab and the presenter control tab. Since both tabs run in the same browser against the same Flask server, they share the same session cookie. The presenter writes signal overrides via POST /api/presenter/set-signals; the customer's next POST /api/score call reads those overrides via the presenter_signals() helper, which merges PRESENTER_DEFAULTS with session['presenter_signals'].</w:t>
      </w:r>
    </w:p>
    <w:p>
      <w:pPr>
        <w:spacing w:before="0" w:after="100" w:line="260" w:lineRule="exact"/>
      </w:pPr>
      <w:r>
        <w:rPr>
          <w:rFonts w:ascii="Calibri" w:hAnsi="Calibri"/>
          <w:b w:val="0"/>
          <w:i w:val="0"/>
          <w:sz w:val="20"/>
        </w:rPr>
        <w:t>This architecture eliminates any need for WebSockets or a separate IPC channel in the demo context. The presenter gauge polls /api/score every 2 seconds; the indicator dots poll /api/session-status every 2 seconds — giving a seamless live update experience.</w:t>
      </w:r>
    </w:p>
    <w:tbl>
      <w:tblPr>
        <w:tblStyle w:val="TableGrid"/>
        <w:tblW w:type="auto" w:w="0"/>
        <w:tblLook w:firstColumn="1" w:firstRow="1" w:lastColumn="0" w:lastRow="0" w:noHBand="0" w:noVBand="1" w:val="04A0"/>
      </w:tblPr>
      <w:tblGrid>
        <w:gridCol w:w="9072"/>
      </w:tblGrid>
      <w:tr>
        <w:tc>
          <w:tcPr>
            <w:tcW w:type="dxa" w:w="9072"/>
            <w:shd w:val="clear" w:color="auto" w:fill="FFF3E0"/>
          </w:tcPr>
          <w:p>
            <w:pPr>
              <w:spacing w:before="80" w:after="80"/>
              <w:ind w:left="144"/>
            </w:pPr>
            <w:r>
              <w:rPr>
                <w:rFonts w:ascii="Calibri" w:hAnsi="Calibri"/>
                <w:sz w:val="19"/>
              </w:rPr>
              <w:t>Production equivalent: The Flask session bridge would be replaced by (a) a Kafka event stream for real-time signal ingestion, (b) an Apache Flink stream processor for feature aggregation, (c) an MLflow model server for inference, and (d) a case management dashboard for fraud analysts.</w:t>
              <w:br/>
            </w:r>
          </w:p>
        </w:tc>
      </w:tr>
    </w:tbl>
    <w:p/>
    <w:p>
      <w:r>
        <w:br w:type="page"/>
      </w:r>
    </w:p>
    <w:p>
      <w:pPr>
        <w:pStyle w:val="Heading1"/>
        <w:spacing w:before="360" w:after="120"/>
      </w:pPr>
      <w:r>
        <w:t>3.  The 27 Behavioural Signals</w:t>
      </w:r>
    </w:p>
    <w:p>
      <w:pPr>
        <w:spacing w:before="0" w:after="100" w:line="260" w:lineRule="exact"/>
      </w:pPr>
      <w:r>
        <w:rPr>
          <w:rFonts w:ascii="Calibri" w:hAnsi="Calibri"/>
          <w:b w:val="0"/>
          <w:i w:val="0"/>
          <w:sz w:val="20"/>
        </w:rPr>
        <w:t>The scoring engine operates on 27 named signals organised across four categories. Each signal is a dimension of the behavioural fingerprint of the session. In the demo, signals are toggled via the presenter panel. In production, every signal maps to a concrete, measurable device or session data source.</w:t>
      </w:r>
    </w:p>
    <w:p>
      <w:pPr>
        <w:pStyle w:val="Heading2"/>
        <w:spacing w:before="240" w:after="80"/>
      </w:pPr>
      <w:r>
        <w:t>3.1  Category I — Device &amp; Environment Signals</w:t>
      </w:r>
    </w:p>
    <w:p>
      <w:pPr>
        <w:spacing w:before="0" w:after="100" w:line="260" w:lineRule="exact"/>
      </w:pPr>
      <w:r>
        <w:rPr>
          <w:rFonts w:ascii="Calibri" w:hAnsi="Calibri"/>
          <w:b w:val="0"/>
          <w:i w:val="0"/>
          <w:sz w:val="20"/>
        </w:rPr>
        <w:t>These signals detect whether the session is occurring on a legitimate user device in a normal computing environment.</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47A1"/>
          </w:tcPr>
          <w:p>
            <w:pPr>
              <w:spacing w:before="60" w:after="60"/>
            </w:pPr>
            <w:r>
              <w:rPr>
                <w:rFonts w:ascii="Calibri" w:hAnsi="Calibri"/>
                <w:b/>
                <w:color w:val="FFFFFF"/>
                <w:sz w:val="18"/>
              </w:rPr>
              <w:t>Signal</w:t>
            </w:r>
          </w:p>
        </w:tc>
        <w:tc>
          <w:tcPr>
            <w:tcW w:type="dxa" w:w="1008"/>
            <w:shd w:val="clear" w:color="auto" w:fill="0D47A1"/>
          </w:tcPr>
          <w:p>
            <w:pPr>
              <w:spacing w:before="60" w:after="60"/>
            </w:pPr>
            <w:r>
              <w:rPr>
                <w:rFonts w:ascii="Calibri" w:hAnsi="Calibri"/>
                <w:b/>
                <w:color w:val="FFFFFF"/>
                <w:sz w:val="18"/>
              </w:rPr>
              <w:t>Type</w:t>
            </w:r>
          </w:p>
        </w:tc>
        <w:tc>
          <w:tcPr>
            <w:tcW w:type="dxa" w:w="5616"/>
            <w:shd w:val="clear" w:color="auto" w:fill="0D47A1"/>
          </w:tcPr>
          <w:p>
            <w:pPr>
              <w:spacing w:before="60" w:after="60"/>
            </w:pPr>
            <w:r>
              <w:rPr>
                <w:rFonts w:ascii="Calibri" w:hAnsi="Calibri"/>
                <w:b/>
                <w:color w:val="FFFFFF"/>
                <w:sz w:val="18"/>
              </w:rPr>
              <w:t>Fraud Indicator &amp; Detection Method</w:t>
            </w:r>
          </w:p>
        </w:tc>
      </w:tr>
      <w:tr>
        <w:tc>
          <w:tcPr>
            <w:tcW w:type="dxa" w:w="2592"/>
            <w:shd w:val="clear" w:color="auto" w:fill="F5F8FD"/>
          </w:tcPr>
          <w:p>
            <w:pPr>
              <w:spacing w:before="40" w:after="40"/>
            </w:pPr>
            <w:r>
              <w:rPr>
                <w:rFonts w:ascii="Calibri" w:hAnsi="Calibri"/>
                <w:b/>
                <w:color w:val="192638"/>
                <w:sz w:val="18"/>
              </w:rPr>
              <w:t>is_vm_or_emulator</w:t>
            </w:r>
          </w:p>
        </w:tc>
        <w:tc>
          <w:tcPr>
            <w:tcW w:type="dxa" w:w="1008"/>
            <w:shd w:val="clear" w:color="auto" w:fill="F5F8FD"/>
          </w:tcPr>
          <w:p>
            <w:pPr>
              <w:spacing w:before="40" w:after="40"/>
            </w:pPr>
            <w:r>
              <w:rPr>
                <w:rFonts w:ascii="Calibri" w:hAnsi="Calibri"/>
                <w:sz w:val="18"/>
              </w:rPr>
              <w:t>Binary</w:t>
            </w:r>
          </w:p>
        </w:tc>
        <w:tc>
          <w:tcPr>
            <w:tcW w:type="dxa" w:w="5616"/>
            <w:shd w:val="clear" w:color="auto" w:fill="F5F8FD"/>
          </w:tcPr>
          <w:p>
            <w:pPr>
              <w:spacing w:before="40" w:after="40"/>
            </w:pPr>
            <w:r>
              <w:rPr>
                <w:rFonts w:ascii="Calibri" w:hAnsi="Calibri"/>
                <w:sz w:val="18"/>
              </w:rPr>
              <w:t>Session running inside a VM or emulator. Real: Android Build.FINGERPRINT / Build.MODEL checks; iOS platform/sensor detection via user-agent analysis.</w:t>
            </w:r>
          </w:p>
        </w:tc>
      </w:tr>
      <w:tr>
        <w:tc>
          <w:tcPr>
            <w:tcW w:type="dxa" w:w="2592"/>
            <w:shd w:val="clear" w:color="auto" w:fill="FFFFFF"/>
          </w:tcPr>
          <w:p>
            <w:pPr>
              <w:spacing w:before="40" w:after="40"/>
            </w:pPr>
            <w:r>
              <w:rPr>
                <w:rFonts w:ascii="Calibri" w:hAnsi="Calibri"/>
                <w:b/>
                <w:color w:val="192638"/>
                <w:sz w:val="18"/>
              </w:rPr>
              <w:t>webdriver_detected</w:t>
            </w:r>
          </w:p>
        </w:tc>
        <w:tc>
          <w:tcPr>
            <w:tcW w:type="dxa" w:w="1008"/>
            <w:shd w:val="clear" w:color="auto" w:fill="FFFFFF"/>
          </w:tcPr>
          <w:p>
            <w:pPr>
              <w:spacing w:before="40" w:after="40"/>
            </w:pPr>
            <w:r>
              <w:rPr>
                <w:rFonts w:ascii="Calibri" w:hAnsi="Calibri"/>
                <w:sz w:val="18"/>
              </w:rPr>
              <w:t>Binary</w:t>
            </w:r>
          </w:p>
        </w:tc>
        <w:tc>
          <w:tcPr>
            <w:tcW w:type="dxa" w:w="5616"/>
            <w:shd w:val="clear" w:color="auto" w:fill="FFFFFF"/>
          </w:tcPr>
          <w:p>
            <w:pPr>
              <w:spacing w:before="40" w:after="40"/>
            </w:pPr>
            <w:r>
              <w:rPr>
                <w:rFonts w:ascii="Calibri" w:hAnsi="Calibri"/>
                <w:sz w:val="18"/>
              </w:rPr>
              <w:t>Browser automation active (Selenium, Playwright, Puppeteer). Real: navigator.webdriver property; CDP protocol detection.</w:t>
            </w:r>
          </w:p>
        </w:tc>
      </w:tr>
      <w:tr>
        <w:tc>
          <w:tcPr>
            <w:tcW w:type="dxa" w:w="2592"/>
            <w:shd w:val="clear" w:color="auto" w:fill="F5F8FD"/>
          </w:tcPr>
          <w:p>
            <w:pPr>
              <w:spacing w:before="40" w:after="40"/>
            </w:pPr>
            <w:r>
              <w:rPr>
                <w:rFonts w:ascii="Calibri" w:hAnsi="Calibri"/>
                <w:b/>
                <w:color w:val="192638"/>
                <w:sz w:val="18"/>
              </w:rPr>
              <w:t>ip_asn_type_encoded</w:t>
            </w:r>
          </w:p>
        </w:tc>
        <w:tc>
          <w:tcPr>
            <w:tcW w:type="dxa" w:w="1008"/>
            <w:shd w:val="clear" w:color="auto" w:fill="F5F8FD"/>
          </w:tcPr>
          <w:p>
            <w:pPr>
              <w:spacing w:before="40" w:after="40"/>
            </w:pPr>
            <w:r>
              <w:rPr>
                <w:rFonts w:ascii="Calibri" w:hAnsi="Calibri"/>
                <w:sz w:val="18"/>
              </w:rPr>
              <w:t>Categorical</w:t>
            </w:r>
          </w:p>
        </w:tc>
        <w:tc>
          <w:tcPr>
            <w:tcW w:type="dxa" w:w="5616"/>
            <w:shd w:val="clear" w:color="auto" w:fill="F5F8FD"/>
          </w:tcPr>
          <w:p>
            <w:pPr>
              <w:spacing w:before="40" w:after="40"/>
            </w:pPr>
            <w:r>
              <w:rPr>
                <w:rFonts w:ascii="Calibri" w:hAnsi="Calibri"/>
                <w:sz w:val="18"/>
              </w:rPr>
              <w:t>IP ASN origin: residential (safe), mobile, business, hosting/datacenter (high risk). Real: MaxMind GeoIP2 ASN database lookup at request time.</w:t>
            </w:r>
          </w:p>
        </w:tc>
      </w:tr>
    </w:tbl>
    <w:p/>
    <w:p>
      <w:pPr>
        <w:pStyle w:val="Heading2"/>
        <w:spacing w:before="240" w:after="80"/>
      </w:pPr>
      <w:r>
        <w:t>3.2  Category II — Session Behavioural Signals</w:t>
      </w:r>
    </w:p>
    <w:p>
      <w:pPr>
        <w:spacing w:before="0" w:after="100" w:line="260" w:lineRule="exact"/>
      </w:pPr>
      <w:r>
        <w:rPr>
          <w:rFonts w:ascii="Calibri" w:hAnsi="Calibri"/>
          <w:b w:val="0"/>
          <w:i w:val="0"/>
          <w:sz w:val="20"/>
        </w:rPr>
        <w:t>These signals are derived from the customer's interaction pattern within the session. They capture the HOW of the interaction — timing, rhythm, and sequence — rather than what was typed.</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D47A1"/>
          </w:tcPr>
          <w:p>
            <w:pPr>
              <w:spacing w:before="60" w:after="60"/>
            </w:pPr>
            <w:r>
              <w:rPr>
                <w:rFonts w:ascii="Calibri" w:hAnsi="Calibri"/>
                <w:b/>
                <w:color w:val="FFFFFF"/>
                <w:sz w:val="18"/>
              </w:rPr>
              <w:t>Signal</w:t>
            </w:r>
          </w:p>
        </w:tc>
        <w:tc>
          <w:tcPr>
            <w:tcW w:type="dxa" w:w="1152"/>
            <w:shd w:val="clear" w:color="auto" w:fill="0D47A1"/>
          </w:tcPr>
          <w:p>
            <w:pPr>
              <w:spacing w:before="60" w:after="60"/>
            </w:pPr>
            <w:r>
              <w:rPr>
                <w:rFonts w:ascii="Calibri" w:hAnsi="Calibri"/>
                <w:b/>
                <w:color w:val="FFFFFF"/>
                <w:sz w:val="18"/>
              </w:rPr>
              <w:t>Type</w:t>
            </w:r>
          </w:p>
        </w:tc>
        <w:tc>
          <w:tcPr>
            <w:tcW w:type="dxa" w:w="5184"/>
            <w:shd w:val="clear" w:color="auto" w:fill="0D47A1"/>
          </w:tcPr>
          <w:p>
            <w:pPr>
              <w:spacing w:before="60" w:after="60"/>
            </w:pPr>
            <w:r>
              <w:rPr>
                <w:rFonts w:ascii="Calibri" w:hAnsi="Calibri"/>
                <w:b/>
                <w:color w:val="FFFFFF"/>
                <w:sz w:val="18"/>
              </w:rPr>
              <w:t>Fraud Indicator</w:t>
            </w:r>
          </w:p>
        </w:tc>
      </w:tr>
      <w:tr>
        <w:tc>
          <w:tcPr>
            <w:tcW w:type="dxa" w:w="2880"/>
            <w:shd w:val="clear" w:color="auto" w:fill="F5F8FD"/>
          </w:tcPr>
          <w:p>
            <w:pPr>
              <w:spacing w:before="40" w:after="40"/>
            </w:pPr>
            <w:r>
              <w:rPr>
                <w:rFonts w:ascii="Calibri" w:hAnsi="Calibri"/>
                <w:b/>
                <w:color w:val="192638"/>
                <w:sz w:val="18"/>
              </w:rPr>
              <w:t>mouse_linearity_score</w:t>
            </w:r>
          </w:p>
        </w:tc>
        <w:tc>
          <w:tcPr>
            <w:tcW w:type="dxa" w:w="1152"/>
            <w:shd w:val="clear" w:color="auto" w:fill="F5F8FD"/>
          </w:tcPr>
          <w:p>
            <w:pPr>
              <w:spacing w:before="40" w:after="40"/>
            </w:pPr>
            <w:r>
              <w:rPr>
                <w:rFonts w:ascii="Calibri" w:hAnsi="Calibri"/>
                <w:sz w:val="18"/>
              </w:rPr>
              <w:t>Float 0–1</w:t>
            </w:r>
          </w:p>
        </w:tc>
        <w:tc>
          <w:tcPr>
            <w:tcW w:type="dxa" w:w="5184"/>
            <w:shd w:val="clear" w:color="auto" w:fill="F5F8FD"/>
          </w:tcPr>
          <w:p>
            <w:pPr>
              <w:spacing w:before="40" w:after="40"/>
            </w:pPr>
            <w:r>
              <w:rPr>
                <w:rFonts w:ascii="Calibri" w:hAnsi="Calibri"/>
                <w:sz w:val="18"/>
              </w:rPr>
              <w:t>High = robotic, perfectly linear movement. Real: mousemove event stream at 100ms intervals; linearity = variance from straight-line path between clicks.</w:t>
            </w:r>
          </w:p>
        </w:tc>
      </w:tr>
      <w:tr>
        <w:tc>
          <w:tcPr>
            <w:tcW w:type="dxa" w:w="2880"/>
            <w:shd w:val="clear" w:color="auto" w:fill="FFFFFF"/>
          </w:tcPr>
          <w:p>
            <w:pPr>
              <w:spacing w:before="40" w:after="40"/>
            </w:pPr>
            <w:r>
              <w:rPr>
                <w:rFonts w:ascii="Calibri" w:hAnsi="Calibri"/>
                <w:b/>
                <w:color w:val="192638"/>
                <w:sz w:val="18"/>
              </w:rPr>
              <w:t>typing_cadence_score</w:t>
            </w:r>
          </w:p>
        </w:tc>
        <w:tc>
          <w:tcPr>
            <w:tcW w:type="dxa" w:w="1152"/>
            <w:shd w:val="clear" w:color="auto" w:fill="FFFFFF"/>
          </w:tcPr>
          <w:p>
            <w:pPr>
              <w:spacing w:before="40" w:after="40"/>
            </w:pPr>
            <w:r>
              <w:rPr>
                <w:rFonts w:ascii="Calibri" w:hAnsi="Calibri"/>
                <w:sz w:val="18"/>
              </w:rPr>
              <w:t>Float 0–1</w:t>
            </w:r>
          </w:p>
        </w:tc>
        <w:tc>
          <w:tcPr>
            <w:tcW w:type="dxa" w:w="5184"/>
            <w:shd w:val="clear" w:color="auto" w:fill="FFFFFF"/>
          </w:tcPr>
          <w:p>
            <w:pPr>
              <w:spacing w:before="40" w:after="40"/>
            </w:pPr>
            <w:r>
              <w:rPr>
                <w:rFonts w:ascii="Calibri" w:hAnsi="Calibri"/>
                <w:sz w:val="18"/>
              </w:rPr>
              <w:t>High = inhuman typing rhythm. Real: keydown/keyup timestamps; inter-keystroke interval variance. Uniform cadence = script; clustered = paste.</w:t>
            </w:r>
          </w:p>
        </w:tc>
      </w:tr>
      <w:tr>
        <w:tc>
          <w:tcPr>
            <w:tcW w:type="dxa" w:w="2880"/>
            <w:shd w:val="clear" w:color="auto" w:fill="F5F8FD"/>
          </w:tcPr>
          <w:p>
            <w:pPr>
              <w:spacing w:before="40" w:after="40"/>
            </w:pPr>
            <w:r>
              <w:rPr>
                <w:rFonts w:ascii="Calibri" w:hAnsi="Calibri"/>
                <w:b/>
                <w:color w:val="192638"/>
                <w:sz w:val="18"/>
              </w:rPr>
              <w:t>form_completion_time_sec</w:t>
            </w:r>
          </w:p>
        </w:tc>
        <w:tc>
          <w:tcPr>
            <w:tcW w:type="dxa" w:w="1152"/>
            <w:shd w:val="clear" w:color="auto" w:fill="F5F8FD"/>
          </w:tcPr>
          <w:p>
            <w:pPr>
              <w:spacing w:before="40" w:after="40"/>
            </w:pPr>
            <w:r>
              <w:rPr>
                <w:rFonts w:ascii="Calibri" w:hAnsi="Calibri"/>
                <w:sz w:val="18"/>
              </w:rPr>
              <w:t>Float</w:t>
            </w:r>
          </w:p>
        </w:tc>
        <w:tc>
          <w:tcPr>
            <w:tcW w:type="dxa" w:w="5184"/>
            <w:shd w:val="clear" w:color="auto" w:fill="F5F8FD"/>
          </w:tcPr>
          <w:p>
            <w:pPr>
              <w:spacing w:before="40" w:after="40"/>
            </w:pPr>
            <w:r>
              <w:rPr>
                <w:rFonts w:ascii="Calibri" w:hAnsi="Calibri"/>
                <w:sz w:val="18"/>
              </w:rPr>
              <w:t>Unusually fast = scripted; unusually slow = coached. Measured from first field focus to submit button click.</w:t>
            </w:r>
          </w:p>
        </w:tc>
      </w:tr>
      <w:tr>
        <w:tc>
          <w:tcPr>
            <w:tcW w:type="dxa" w:w="2880"/>
            <w:shd w:val="clear" w:color="auto" w:fill="FFFFFF"/>
          </w:tcPr>
          <w:p>
            <w:pPr>
              <w:spacing w:before="40" w:after="40"/>
            </w:pPr>
            <w:r>
              <w:rPr>
                <w:rFonts w:ascii="Calibri" w:hAnsi="Calibri"/>
                <w:b/>
                <w:color w:val="192638"/>
                <w:sz w:val="18"/>
              </w:rPr>
              <w:t>password_entry_ms</w:t>
            </w:r>
          </w:p>
        </w:tc>
        <w:tc>
          <w:tcPr>
            <w:tcW w:type="dxa" w:w="1152"/>
            <w:shd w:val="clear" w:color="auto" w:fill="FFFFFF"/>
          </w:tcPr>
          <w:p>
            <w:pPr>
              <w:spacing w:before="40" w:after="40"/>
            </w:pPr>
            <w:r>
              <w:rPr>
                <w:rFonts w:ascii="Calibri" w:hAnsi="Calibri"/>
                <w:sz w:val="18"/>
              </w:rPr>
              <w:t>Float</w:t>
            </w:r>
          </w:p>
        </w:tc>
        <w:tc>
          <w:tcPr>
            <w:tcW w:type="dxa" w:w="5184"/>
            <w:shd w:val="clear" w:color="auto" w:fill="FFFFFF"/>
          </w:tcPr>
          <w:p>
            <w:pPr>
              <w:spacing w:before="40" w:after="40"/>
            </w:pPr>
            <w:r>
              <w:rPr>
                <w:rFonts w:ascii="Calibri" w:hAnsi="Calibri"/>
                <w:sz w:val="18"/>
              </w:rPr>
              <w:t>Time in password field. Near-zero = pasted credential. Measured via focus/blur event delta.</w:t>
            </w:r>
          </w:p>
        </w:tc>
      </w:tr>
      <w:tr>
        <w:tc>
          <w:tcPr>
            <w:tcW w:type="dxa" w:w="2880"/>
            <w:shd w:val="clear" w:color="auto" w:fill="F5F8FD"/>
          </w:tcPr>
          <w:p>
            <w:pPr>
              <w:spacing w:before="40" w:after="40"/>
            </w:pPr>
            <w:r>
              <w:rPr>
                <w:rFonts w:ascii="Calibri" w:hAnsi="Calibri"/>
                <w:b/>
                <w:color w:val="192638"/>
                <w:sz w:val="18"/>
              </w:rPr>
              <w:t>pages_visited_pre_transfer</w:t>
            </w:r>
          </w:p>
        </w:tc>
        <w:tc>
          <w:tcPr>
            <w:tcW w:type="dxa" w:w="1152"/>
            <w:shd w:val="clear" w:color="auto" w:fill="F5F8FD"/>
          </w:tcPr>
          <w:p>
            <w:pPr>
              <w:spacing w:before="40" w:after="40"/>
            </w:pPr>
            <w:r>
              <w:rPr>
                <w:rFonts w:ascii="Calibri" w:hAnsi="Calibri"/>
                <w:sz w:val="18"/>
              </w:rPr>
              <w:t>Integer</w:t>
            </w:r>
          </w:p>
        </w:tc>
        <w:tc>
          <w:tcPr>
            <w:tcW w:type="dxa" w:w="5184"/>
            <w:shd w:val="clear" w:color="auto" w:fill="F5F8FD"/>
          </w:tcPr>
          <w:p>
            <w:pPr>
              <w:spacing w:before="40" w:after="40"/>
            </w:pPr>
            <w:r>
              <w:rPr>
                <w:rFonts w:ascii="Calibri" w:hAnsi="Calibri"/>
                <w:sz w:val="18"/>
              </w:rPr>
              <w:t>Count of pages visited before initiating transfer. Low count (1) = deep-linked directly to transfer (phishing link pattern).</w:t>
            </w:r>
          </w:p>
        </w:tc>
      </w:tr>
      <w:tr>
        <w:tc>
          <w:tcPr>
            <w:tcW w:type="dxa" w:w="2880"/>
            <w:shd w:val="clear" w:color="auto" w:fill="FFFFFF"/>
          </w:tcPr>
          <w:p>
            <w:pPr>
              <w:spacing w:before="40" w:after="40"/>
            </w:pPr>
            <w:r>
              <w:rPr>
                <w:rFonts w:ascii="Calibri" w:hAnsi="Calibri"/>
                <w:b/>
                <w:color w:val="192638"/>
                <w:sz w:val="18"/>
              </w:rPr>
              <w:t>time_login_to_transfer_sec</w:t>
            </w:r>
          </w:p>
        </w:tc>
        <w:tc>
          <w:tcPr>
            <w:tcW w:type="dxa" w:w="1152"/>
            <w:shd w:val="clear" w:color="auto" w:fill="FFFFFF"/>
          </w:tcPr>
          <w:p>
            <w:pPr>
              <w:spacing w:before="40" w:after="40"/>
            </w:pPr>
            <w:r>
              <w:rPr>
                <w:rFonts w:ascii="Calibri" w:hAnsi="Calibri"/>
                <w:sz w:val="18"/>
              </w:rPr>
              <w:t>Float</w:t>
            </w:r>
          </w:p>
        </w:tc>
        <w:tc>
          <w:tcPr>
            <w:tcW w:type="dxa" w:w="5184"/>
            <w:shd w:val="clear" w:color="auto" w:fill="FFFFFF"/>
          </w:tcPr>
          <w:p>
            <w:pPr>
              <w:spacing w:before="40" w:after="40"/>
            </w:pPr>
            <w:r>
              <w:rPr>
                <w:rFonts w:ascii="Calibri" w:hAnsi="Calibri"/>
                <w:sz w:val="18"/>
              </w:rPr>
              <w:t>Seconds from login to transfer attempt. Near-zero = scripted; high = normal browsing session.</w:t>
            </w:r>
          </w:p>
        </w:tc>
      </w:tr>
      <w:tr>
        <w:tc>
          <w:tcPr>
            <w:tcW w:type="dxa" w:w="2880"/>
            <w:shd w:val="clear" w:color="auto" w:fill="F5F8FD"/>
          </w:tcPr>
          <w:p>
            <w:pPr>
              <w:spacing w:before="40" w:after="40"/>
            </w:pPr>
            <w:r>
              <w:rPr>
                <w:rFonts w:ascii="Calibri" w:hAnsi="Calibri"/>
                <w:b/>
                <w:color w:val="192638"/>
                <w:sz w:val="18"/>
              </w:rPr>
              <w:t>profile_updated_this_session</w:t>
            </w:r>
          </w:p>
        </w:tc>
        <w:tc>
          <w:tcPr>
            <w:tcW w:type="dxa" w:w="1152"/>
            <w:shd w:val="clear" w:color="auto" w:fill="F5F8FD"/>
          </w:tcPr>
          <w:p>
            <w:pPr>
              <w:spacing w:before="40" w:after="40"/>
            </w:pPr>
            <w:r>
              <w:rPr>
                <w:rFonts w:ascii="Calibri" w:hAnsi="Calibri"/>
                <w:sz w:val="18"/>
              </w:rPr>
              <w:t>Binary</w:t>
            </w:r>
          </w:p>
        </w:tc>
        <w:tc>
          <w:tcPr>
            <w:tcW w:type="dxa" w:w="5184"/>
            <w:shd w:val="clear" w:color="auto" w:fill="F5F8FD"/>
          </w:tcPr>
          <w:p>
            <w:pPr>
              <w:spacing w:before="40" w:after="40"/>
            </w:pPr>
            <w:r>
              <w:rPr>
                <w:rFonts w:ascii="Calibri" w:hAnsi="Calibri"/>
                <w:sz w:val="18"/>
              </w:rPr>
              <w:t>Attacker changed name or address before transferring (to intercept communications). Set via /api/update-profile.</w:t>
            </w:r>
          </w:p>
        </w:tc>
      </w:tr>
      <w:tr>
        <w:tc>
          <w:tcPr>
            <w:tcW w:type="dxa" w:w="2880"/>
            <w:shd w:val="clear" w:color="auto" w:fill="FFFFFF"/>
          </w:tcPr>
          <w:p>
            <w:pPr>
              <w:spacing w:before="40" w:after="40"/>
            </w:pPr>
            <w:r>
              <w:rPr>
                <w:rFonts w:ascii="Calibri" w:hAnsi="Calibri"/>
                <w:b/>
                <w:color w:val="192638"/>
                <w:sz w:val="18"/>
              </w:rPr>
              <w:t>used_fido_passkey</w:t>
            </w:r>
          </w:p>
        </w:tc>
        <w:tc>
          <w:tcPr>
            <w:tcW w:type="dxa" w:w="1152"/>
            <w:shd w:val="clear" w:color="auto" w:fill="FFFFFF"/>
          </w:tcPr>
          <w:p>
            <w:pPr>
              <w:spacing w:before="40" w:after="40"/>
            </w:pPr>
            <w:r>
              <w:rPr>
                <w:rFonts w:ascii="Calibri" w:hAnsi="Calibri"/>
                <w:sz w:val="18"/>
              </w:rPr>
              <w:t>Binary</w:t>
            </w:r>
          </w:p>
        </w:tc>
        <w:tc>
          <w:tcPr>
            <w:tcW w:type="dxa" w:w="5184"/>
            <w:shd w:val="clear" w:color="auto" w:fill="FFFFFF"/>
          </w:tcPr>
          <w:p>
            <w:pPr>
              <w:spacing w:before="40" w:after="40"/>
            </w:pPr>
            <w:r>
              <w:rPr>
                <w:rFonts w:ascii="Calibri" w:hAnsi="Calibri"/>
                <w:sz w:val="18"/>
              </w:rPr>
              <w:t>Whether login used a hardware or platform passkey. Reduces fraud risk: passkeys cannot be phished.</w:t>
            </w:r>
          </w:p>
        </w:tc>
      </w:tr>
    </w:tbl>
    <w:p/>
    <w:p>
      <w:pPr>
        <w:pStyle w:val="Heading2"/>
        <w:spacing w:before="240" w:after="80"/>
      </w:pPr>
      <w:r>
        <w:t>3.3  Category III — Transaction Context Signals</w:t>
      </w:r>
    </w:p>
    <w:p>
      <w:pPr>
        <w:spacing w:before="0" w:after="100" w:line="260" w:lineRule="exact"/>
      </w:pPr>
      <w:r>
        <w:rPr>
          <w:rFonts w:ascii="Calibri" w:hAnsi="Calibri"/>
          <w:b w:val="0"/>
          <w:i w:val="0"/>
          <w:sz w:val="20"/>
        </w:rPr>
        <w:t>These signals evaluate the transfer destination and amount against historical patterns.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47A1"/>
          </w:tcPr>
          <w:p>
            <w:pPr>
              <w:spacing w:before="60" w:after="60"/>
            </w:pPr>
            <w:r>
              <w:rPr>
                <w:rFonts w:ascii="Calibri" w:hAnsi="Calibri"/>
                <w:b/>
                <w:color w:val="FFFFFF"/>
                <w:sz w:val="18"/>
              </w:rPr>
              <w:t>Signal</w:t>
            </w:r>
          </w:p>
        </w:tc>
        <w:tc>
          <w:tcPr>
            <w:tcW w:type="dxa" w:w="1152"/>
            <w:shd w:val="clear" w:color="auto" w:fill="0D47A1"/>
          </w:tcPr>
          <w:p>
            <w:pPr>
              <w:spacing w:before="60" w:after="60"/>
            </w:pPr>
            <w:r>
              <w:rPr>
                <w:rFonts w:ascii="Calibri" w:hAnsi="Calibri"/>
                <w:b/>
                <w:color w:val="FFFFFF"/>
                <w:sz w:val="18"/>
              </w:rPr>
              <w:t>Type</w:t>
            </w:r>
          </w:p>
        </w:tc>
        <w:tc>
          <w:tcPr>
            <w:tcW w:type="dxa" w:w="5472"/>
            <w:shd w:val="clear" w:color="auto" w:fill="0D47A1"/>
          </w:tcPr>
          <w:p>
            <w:pPr>
              <w:spacing w:before="60" w:after="60"/>
            </w:pPr>
            <w:r>
              <w:rPr>
                <w:rFonts w:ascii="Calibri" w:hAnsi="Calibri"/>
                <w:b/>
                <w:color w:val="FFFFFF"/>
                <w:sz w:val="18"/>
              </w:rPr>
              <w:t>Fraud Indicator</w:t>
            </w:r>
          </w:p>
        </w:tc>
      </w:tr>
      <w:tr>
        <w:tc>
          <w:tcPr>
            <w:tcW w:type="dxa" w:w="2592"/>
            <w:shd w:val="clear" w:color="auto" w:fill="F5F8FD"/>
          </w:tcPr>
          <w:p>
            <w:pPr>
              <w:spacing w:before="40" w:after="40"/>
            </w:pPr>
            <w:r>
              <w:rPr>
                <w:rFonts w:ascii="Calibri" w:hAnsi="Calibri"/>
                <w:b/>
                <w:color w:val="192638"/>
                <w:sz w:val="18"/>
              </w:rPr>
              <w:t>is_historical_payee</w:t>
            </w:r>
          </w:p>
        </w:tc>
        <w:tc>
          <w:tcPr>
            <w:tcW w:type="dxa" w:w="1152"/>
            <w:shd w:val="clear" w:color="auto" w:fill="F5F8FD"/>
          </w:tcPr>
          <w:p>
            <w:pPr>
              <w:spacing w:before="40" w:after="40"/>
            </w:pPr>
            <w:r>
              <w:rPr>
                <w:rFonts w:ascii="Calibri" w:hAnsi="Calibri"/>
                <w:sz w:val="18"/>
              </w:rPr>
              <w:t>Binary</w:t>
            </w:r>
          </w:p>
        </w:tc>
        <w:tc>
          <w:tcPr>
            <w:tcW w:type="dxa" w:w="5472"/>
            <w:shd w:val="clear" w:color="auto" w:fill="F5F8FD"/>
          </w:tcPr>
          <w:p>
            <w:pPr>
              <w:spacing w:before="40" w:after="40"/>
            </w:pPr>
            <w:r>
              <w:rPr>
                <w:rFonts w:ascii="Calibri" w:hAnsi="Calibri"/>
                <w:sz w:val="18"/>
              </w:rPr>
              <w:t>This IBAN has never been paid by this account before. First-time payees are significantly higher risk.</w:t>
            </w:r>
          </w:p>
        </w:tc>
      </w:tr>
      <w:tr>
        <w:tc>
          <w:tcPr>
            <w:tcW w:type="dxa" w:w="2592"/>
            <w:shd w:val="clear" w:color="auto" w:fill="FFFFFF"/>
          </w:tcPr>
          <w:p>
            <w:pPr>
              <w:spacing w:before="40" w:after="40"/>
            </w:pPr>
            <w:r>
              <w:rPr>
                <w:rFonts w:ascii="Calibri" w:hAnsi="Calibri"/>
                <w:b/>
                <w:color w:val="192638"/>
                <w:sz w:val="18"/>
              </w:rPr>
              <w:t>is_neobank_routing</w:t>
            </w:r>
          </w:p>
        </w:tc>
        <w:tc>
          <w:tcPr>
            <w:tcW w:type="dxa" w:w="1152"/>
            <w:shd w:val="clear" w:color="auto" w:fill="FFFFFF"/>
          </w:tcPr>
          <w:p>
            <w:pPr>
              <w:spacing w:before="40" w:after="40"/>
            </w:pPr>
            <w:r>
              <w:rPr>
                <w:rFonts w:ascii="Calibri" w:hAnsi="Calibri"/>
                <w:sz w:val="18"/>
              </w:rPr>
              <w:t>Binary</w:t>
            </w:r>
          </w:p>
        </w:tc>
        <w:tc>
          <w:tcPr>
            <w:tcW w:type="dxa" w:w="5472"/>
            <w:shd w:val="clear" w:color="auto" w:fill="FFFFFF"/>
          </w:tcPr>
          <w:p>
            <w:pPr>
              <w:spacing w:before="40" w:after="40"/>
            </w:pPr>
            <w:r>
              <w:rPr>
                <w:rFonts w:ascii="Calibri" w:hAnsi="Calibri"/>
                <w:sz w:val="18"/>
              </w:rPr>
              <w:t>Recipient bank is a neobank (Revolut, Wise, N26). Neobanks are disproportionately used as money mule receiving accounts due to rapid onboarding.</w:t>
            </w:r>
          </w:p>
        </w:tc>
      </w:tr>
      <w:tr>
        <w:tc>
          <w:tcPr>
            <w:tcW w:type="dxa" w:w="2592"/>
            <w:shd w:val="clear" w:color="auto" w:fill="F5F8FD"/>
          </w:tcPr>
          <w:p>
            <w:pPr>
              <w:spacing w:before="40" w:after="40"/>
            </w:pPr>
            <w:r>
              <w:rPr>
                <w:rFonts w:ascii="Calibri" w:hAnsi="Calibri"/>
                <w:b/>
                <w:color w:val="192638"/>
                <w:sz w:val="18"/>
              </w:rPr>
              <w:t>payee_account_age_hrs</w:t>
            </w:r>
          </w:p>
        </w:tc>
        <w:tc>
          <w:tcPr>
            <w:tcW w:type="dxa" w:w="1152"/>
            <w:shd w:val="clear" w:color="auto" w:fill="F5F8FD"/>
          </w:tcPr>
          <w:p>
            <w:pPr>
              <w:spacing w:before="40" w:after="40"/>
            </w:pPr>
            <w:r>
              <w:rPr>
                <w:rFonts w:ascii="Calibri" w:hAnsi="Calibri"/>
                <w:sz w:val="18"/>
              </w:rPr>
              <w:t>Float</w:t>
            </w:r>
          </w:p>
        </w:tc>
        <w:tc>
          <w:tcPr>
            <w:tcW w:type="dxa" w:w="5472"/>
            <w:shd w:val="clear" w:color="auto" w:fill="F5F8FD"/>
          </w:tcPr>
          <w:p>
            <w:pPr>
              <w:spacing w:before="40" w:after="40"/>
            </w:pPr>
            <w:r>
              <w:rPr>
                <w:rFonts w:ascii="Calibri" w:hAnsi="Calibri"/>
                <w:sz w:val="18"/>
              </w:rPr>
              <w:t>Age of recipient account in hours. &lt;48h = recently opened account — strong money mule indicator.</w:t>
            </w:r>
          </w:p>
        </w:tc>
      </w:tr>
      <w:tr>
        <w:tc>
          <w:tcPr>
            <w:tcW w:type="dxa" w:w="2592"/>
            <w:shd w:val="clear" w:color="auto" w:fill="FFFFFF"/>
          </w:tcPr>
          <w:p>
            <w:pPr>
              <w:spacing w:before="40" w:after="40"/>
            </w:pPr>
            <w:r>
              <w:rPr>
                <w:rFonts w:ascii="Calibri" w:hAnsi="Calibri"/>
                <w:b/>
                <w:color w:val="192638"/>
                <w:sz w:val="18"/>
              </w:rPr>
              <w:t>transfer_amount_lek</w:t>
            </w:r>
          </w:p>
        </w:tc>
        <w:tc>
          <w:tcPr>
            <w:tcW w:type="dxa" w:w="1152"/>
            <w:shd w:val="clear" w:color="auto" w:fill="FFFFFF"/>
          </w:tcPr>
          <w:p>
            <w:pPr>
              <w:spacing w:before="40" w:after="40"/>
            </w:pPr>
            <w:r>
              <w:rPr>
                <w:rFonts w:ascii="Calibri" w:hAnsi="Calibri"/>
                <w:sz w:val="18"/>
              </w:rPr>
              <w:t>Float</w:t>
            </w:r>
          </w:p>
        </w:tc>
        <w:tc>
          <w:tcPr>
            <w:tcW w:type="dxa" w:w="5472"/>
            <w:shd w:val="clear" w:color="auto" w:fill="FFFFFF"/>
          </w:tcPr>
          <w:p>
            <w:pPr>
              <w:spacing w:before="40" w:after="40"/>
            </w:pPr>
            <w:r>
              <w:rPr>
                <w:rFonts w:ascii="Calibri" w:hAnsi="Calibri"/>
                <w:sz w:val="18"/>
              </w:rPr>
              <w:t>Raw transfer amount in Albanian Lek.</w:t>
            </w:r>
          </w:p>
        </w:tc>
      </w:tr>
      <w:tr>
        <w:tc>
          <w:tcPr>
            <w:tcW w:type="dxa" w:w="2592"/>
            <w:shd w:val="clear" w:color="auto" w:fill="F5F8FD"/>
          </w:tcPr>
          <w:p>
            <w:pPr>
              <w:spacing w:before="40" w:after="40"/>
            </w:pPr>
            <w:r>
              <w:rPr>
                <w:rFonts w:ascii="Calibri" w:hAnsi="Calibri"/>
                <w:b/>
                <w:color w:val="192638"/>
                <w:sz w:val="18"/>
              </w:rPr>
              <w:t>transfer_intensity</w:t>
            </w:r>
          </w:p>
        </w:tc>
        <w:tc>
          <w:tcPr>
            <w:tcW w:type="dxa" w:w="1152"/>
            <w:shd w:val="clear" w:color="auto" w:fill="F5F8FD"/>
          </w:tcPr>
          <w:p>
            <w:pPr>
              <w:spacing w:before="40" w:after="40"/>
            </w:pPr>
            <w:r>
              <w:rPr>
                <w:rFonts w:ascii="Calibri" w:hAnsi="Calibri"/>
                <w:sz w:val="18"/>
              </w:rPr>
              <w:t>Float</w:t>
            </w:r>
          </w:p>
        </w:tc>
        <w:tc>
          <w:tcPr>
            <w:tcW w:type="dxa" w:w="5472"/>
            <w:shd w:val="clear" w:color="auto" w:fill="F5F8FD"/>
          </w:tcPr>
          <w:p>
            <w:pPr>
              <w:spacing w:before="40" w:after="40"/>
            </w:pPr>
            <w:r>
              <w:rPr>
                <w:rFonts w:ascii="Calibri" w:hAnsi="Calibri"/>
                <w:sz w:val="18"/>
              </w:rPr>
              <w:t>Transfer amount divided by average historical transfer amount. &gt;5 = outlier transfer — far above normal for this customer.</w:t>
            </w:r>
          </w:p>
        </w:tc>
      </w:tr>
      <w:tr>
        <w:tc>
          <w:tcPr>
            <w:tcW w:type="dxa" w:w="2592"/>
            <w:shd w:val="clear" w:color="auto" w:fill="FFFFFF"/>
          </w:tcPr>
          <w:p>
            <w:pPr>
              <w:spacing w:before="40" w:after="40"/>
            </w:pPr>
            <w:r>
              <w:rPr>
                <w:rFonts w:ascii="Calibri" w:hAnsi="Calibri"/>
                <w:b/>
                <w:color w:val="192638"/>
                <w:sz w:val="18"/>
              </w:rPr>
              <w:t>transfers_past_24h</w:t>
            </w:r>
          </w:p>
        </w:tc>
        <w:tc>
          <w:tcPr>
            <w:tcW w:type="dxa" w:w="1152"/>
            <w:shd w:val="clear" w:color="auto" w:fill="FFFFFF"/>
          </w:tcPr>
          <w:p>
            <w:pPr>
              <w:spacing w:before="40" w:after="40"/>
            </w:pPr>
            <w:r>
              <w:rPr>
                <w:rFonts w:ascii="Calibri" w:hAnsi="Calibri"/>
                <w:sz w:val="18"/>
              </w:rPr>
              <w:t>Integer</w:t>
            </w:r>
          </w:p>
        </w:tc>
        <w:tc>
          <w:tcPr>
            <w:tcW w:type="dxa" w:w="5472"/>
            <w:shd w:val="clear" w:color="auto" w:fill="FFFFFF"/>
          </w:tcPr>
          <w:p>
            <w:pPr>
              <w:spacing w:before="40" w:after="40"/>
            </w:pPr>
            <w:r>
              <w:rPr>
                <w:rFonts w:ascii="Calibri" w:hAnsi="Calibri"/>
                <w:sz w:val="18"/>
              </w:rPr>
              <w:t>Number of completed transfers in the past 24 hours. High velocity = structuring / layering.</w:t>
            </w:r>
          </w:p>
        </w:tc>
      </w:tr>
    </w:tbl>
    <w:p/>
    <w:p>
      <w:pPr>
        <w:pStyle w:val="Heading2"/>
        <w:spacing w:before="240" w:after="80"/>
      </w:pPr>
      <w:r>
        <w:t>3.4  Category IV — Sociotechnical &amp; Environmental Signals</w:t>
      </w:r>
    </w:p>
    <w:p>
      <w:pPr>
        <w:spacing w:before="0" w:after="100" w:line="260" w:lineRule="exact"/>
      </w:pPr>
      <w:r>
        <w:rPr>
          <w:rFonts w:ascii="Calibri" w:hAnsi="Calibri"/>
          <w:b w:val="0"/>
          <w:i w:val="0"/>
          <w:sz w:val="20"/>
        </w:rPr>
        <w:t>These signals detect the social engineering context — whether the customer is being watched, coached, or remotely controlled during the session. These are the most powerful signals for APP fraud detection.</w:t>
      </w: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0D47A1"/>
          </w:tcPr>
          <w:p>
            <w:pPr>
              <w:spacing w:before="60" w:after="60"/>
            </w:pPr>
            <w:r>
              <w:rPr>
                <w:rFonts w:ascii="Calibri" w:hAnsi="Calibri"/>
                <w:b/>
                <w:color w:val="FFFFFF"/>
                <w:sz w:val="18"/>
              </w:rPr>
              <w:t>Signal</w:t>
            </w:r>
          </w:p>
        </w:tc>
        <w:tc>
          <w:tcPr>
            <w:tcW w:type="dxa" w:w="1008"/>
            <w:shd w:val="clear" w:color="auto" w:fill="0D47A1"/>
          </w:tcPr>
          <w:p>
            <w:pPr>
              <w:spacing w:before="60" w:after="60"/>
            </w:pPr>
            <w:r>
              <w:rPr>
                <w:rFonts w:ascii="Calibri" w:hAnsi="Calibri"/>
                <w:b/>
                <w:color w:val="FFFFFF"/>
                <w:sz w:val="18"/>
              </w:rPr>
              <w:t>Type</w:t>
            </w:r>
          </w:p>
        </w:tc>
        <w:tc>
          <w:tcPr>
            <w:tcW w:type="dxa" w:w="5472"/>
            <w:shd w:val="clear" w:color="auto" w:fill="0D47A1"/>
          </w:tcPr>
          <w:p>
            <w:pPr>
              <w:spacing w:before="60" w:after="60"/>
            </w:pPr>
            <w:r>
              <w:rPr>
                <w:rFonts w:ascii="Calibri" w:hAnsi="Calibri"/>
                <w:b/>
                <w:color w:val="FFFFFF"/>
                <w:sz w:val="18"/>
              </w:rPr>
              <w:t>Fraud Indicator &amp; Real Detection</w:t>
            </w:r>
          </w:p>
        </w:tc>
      </w:tr>
      <w:tr>
        <w:tc>
          <w:tcPr>
            <w:tcW w:type="dxa" w:w="2736"/>
            <w:shd w:val="clear" w:color="auto" w:fill="F5F8FD"/>
          </w:tcPr>
          <w:p>
            <w:pPr>
              <w:spacing w:before="40" w:after="40"/>
            </w:pPr>
            <w:r>
              <w:rPr>
                <w:rFonts w:ascii="Calibri" w:hAnsi="Calibri"/>
                <w:b/>
                <w:color w:val="192638"/>
                <w:sz w:val="18"/>
              </w:rPr>
              <w:t>is_in_active_call</w:t>
            </w:r>
          </w:p>
        </w:tc>
        <w:tc>
          <w:tcPr>
            <w:tcW w:type="dxa" w:w="1008"/>
            <w:shd w:val="clear" w:color="auto" w:fill="F5F8FD"/>
          </w:tcPr>
          <w:p>
            <w:pPr>
              <w:spacing w:before="40" w:after="40"/>
            </w:pPr>
            <w:r>
              <w:rPr>
                <w:rFonts w:ascii="Calibri" w:hAnsi="Calibri"/>
                <w:sz w:val="18"/>
              </w:rPr>
              <w:t>Binary</w:t>
            </w:r>
          </w:p>
        </w:tc>
        <w:tc>
          <w:tcPr>
            <w:tcW w:type="dxa" w:w="5472"/>
            <w:shd w:val="clear" w:color="auto" w:fill="F5F8FD"/>
          </w:tcPr>
          <w:p>
            <w:pPr>
              <w:spacing w:before="40" w:after="40"/>
            </w:pPr>
            <w:r>
              <w:rPr>
                <w:rFonts w:ascii="Calibri" w:hAnsi="Calibri"/>
                <w:sz w:val="18"/>
              </w:rPr>
              <w:t>Phone call active during transfer. Classic vishing pattern — scammer stays on line to coach victim. iOS: CXCallObserver / CallKit. Android: TelecomManager.isInCall.</w:t>
            </w:r>
          </w:p>
        </w:tc>
      </w:tr>
      <w:tr>
        <w:tc>
          <w:tcPr>
            <w:tcW w:type="dxa" w:w="2736"/>
            <w:shd w:val="clear" w:color="auto" w:fill="FFFFFF"/>
          </w:tcPr>
          <w:p>
            <w:pPr>
              <w:spacing w:before="40" w:after="40"/>
            </w:pPr>
            <w:r>
              <w:rPr>
                <w:rFonts w:ascii="Calibri" w:hAnsi="Calibri"/>
                <w:b/>
                <w:color w:val="192638"/>
                <w:sz w:val="18"/>
              </w:rPr>
              <w:t>is_screensharing_active</w:t>
            </w:r>
          </w:p>
        </w:tc>
        <w:tc>
          <w:tcPr>
            <w:tcW w:type="dxa" w:w="1008"/>
            <w:shd w:val="clear" w:color="auto" w:fill="FFFFFF"/>
          </w:tcPr>
          <w:p>
            <w:pPr>
              <w:spacing w:before="40" w:after="40"/>
            </w:pPr>
            <w:r>
              <w:rPr>
                <w:rFonts w:ascii="Calibri" w:hAnsi="Calibri"/>
                <w:sz w:val="18"/>
              </w:rPr>
              <w:t>Binary</w:t>
            </w:r>
          </w:p>
        </w:tc>
        <w:tc>
          <w:tcPr>
            <w:tcW w:type="dxa" w:w="5472"/>
            <w:shd w:val="clear" w:color="auto" w:fill="FFFFFF"/>
          </w:tcPr>
          <w:p>
            <w:pPr>
              <w:spacing w:before="40" w:after="40"/>
            </w:pPr>
            <w:r>
              <w:rPr>
                <w:rFonts w:ascii="Calibri" w:hAnsi="Calibri"/>
                <w:sz w:val="18"/>
              </w:rPr>
              <w:t>Screen sharing app running. Attacker can see the customer's screen. iOS: UIScreen.isCaptured. Android: MediaProjection API detection.</w:t>
            </w:r>
          </w:p>
        </w:tc>
      </w:tr>
      <w:tr>
        <w:tc>
          <w:tcPr>
            <w:tcW w:type="dxa" w:w="2736"/>
            <w:shd w:val="clear" w:color="auto" w:fill="F5F8FD"/>
          </w:tcPr>
          <w:p>
            <w:pPr>
              <w:spacing w:before="40" w:after="40"/>
            </w:pPr>
            <w:r>
              <w:rPr>
                <w:rFonts w:ascii="Calibri" w:hAnsi="Calibri"/>
                <w:b/>
                <w:color w:val="192638"/>
                <w:sz w:val="18"/>
              </w:rPr>
              <w:t>remote_access_app_detected</w:t>
            </w:r>
          </w:p>
        </w:tc>
        <w:tc>
          <w:tcPr>
            <w:tcW w:type="dxa" w:w="1008"/>
            <w:shd w:val="clear" w:color="auto" w:fill="F5F8FD"/>
          </w:tcPr>
          <w:p>
            <w:pPr>
              <w:spacing w:before="40" w:after="40"/>
            </w:pPr>
            <w:r>
              <w:rPr>
                <w:rFonts w:ascii="Calibri" w:hAnsi="Calibri"/>
                <w:sz w:val="18"/>
              </w:rPr>
              <w:t>Binary</w:t>
            </w:r>
          </w:p>
        </w:tc>
        <w:tc>
          <w:tcPr>
            <w:tcW w:type="dxa" w:w="5472"/>
            <w:shd w:val="clear" w:color="auto" w:fill="F5F8FD"/>
          </w:tcPr>
          <w:p>
            <w:pPr>
              <w:spacing w:before="40" w:after="40"/>
            </w:pPr>
            <w:r>
              <w:rPr>
                <w:rFonts w:ascii="Calibri" w:hAnsi="Calibri"/>
                <w:sz w:val="18"/>
              </w:rPr>
              <w:t>AnyDesk / TeamViewer / VNC running — full remote control of device. Android: package manager queries known RAT package names.</w:t>
            </w:r>
          </w:p>
        </w:tc>
      </w:tr>
      <w:tr>
        <w:tc>
          <w:tcPr>
            <w:tcW w:type="dxa" w:w="2736"/>
            <w:shd w:val="clear" w:color="auto" w:fill="FFFFFF"/>
          </w:tcPr>
          <w:p>
            <w:pPr>
              <w:spacing w:before="40" w:after="40"/>
            </w:pPr>
            <w:r>
              <w:rPr>
                <w:rFonts w:ascii="Calibri" w:hAnsi="Calibri"/>
                <w:b/>
                <w:color w:val="192638"/>
                <w:sz w:val="18"/>
              </w:rPr>
              <w:t>coached_fraud_index</w:t>
            </w:r>
          </w:p>
        </w:tc>
        <w:tc>
          <w:tcPr>
            <w:tcW w:type="dxa" w:w="1008"/>
            <w:shd w:val="clear" w:color="auto" w:fill="FFFFFF"/>
          </w:tcPr>
          <w:p>
            <w:pPr>
              <w:spacing w:before="40" w:after="40"/>
            </w:pPr>
            <w:r>
              <w:rPr>
                <w:rFonts w:ascii="Calibri" w:hAnsi="Calibri"/>
                <w:sz w:val="18"/>
              </w:rPr>
              <w:t>Float</w:t>
            </w:r>
          </w:p>
        </w:tc>
        <w:tc>
          <w:tcPr>
            <w:tcW w:type="dxa" w:w="5472"/>
            <w:shd w:val="clear" w:color="auto" w:fill="FFFFFF"/>
          </w:tcPr>
          <w:p>
            <w:pPr>
              <w:spacing w:before="40" w:after="40"/>
            </w:pPr>
            <w:r>
              <w:rPr>
                <w:rFonts w:ascii="Calibri" w:hAnsi="Calibri"/>
                <w:sz w:val="18"/>
              </w:rPr>
              <w:t>Composite of hesitation patterns: repeated field clearing, backspacing, long pauses between characters, excessive error corrections.</w:t>
            </w:r>
          </w:p>
        </w:tc>
      </w:tr>
      <w:tr>
        <w:tc>
          <w:tcPr>
            <w:tcW w:type="dxa" w:w="2736"/>
            <w:shd w:val="clear" w:color="auto" w:fill="F5F8FD"/>
          </w:tcPr>
          <w:p>
            <w:pPr>
              <w:spacing w:before="40" w:after="40"/>
            </w:pPr>
            <w:r>
              <w:rPr>
                <w:rFonts w:ascii="Calibri" w:hAnsi="Calibri"/>
                <w:b/>
                <w:color w:val="192638"/>
                <w:sz w:val="18"/>
              </w:rPr>
              <w:t>bot_agility_index</w:t>
            </w:r>
          </w:p>
        </w:tc>
        <w:tc>
          <w:tcPr>
            <w:tcW w:type="dxa" w:w="1008"/>
            <w:shd w:val="clear" w:color="auto" w:fill="F5F8FD"/>
          </w:tcPr>
          <w:p>
            <w:pPr>
              <w:spacing w:before="40" w:after="40"/>
            </w:pPr>
            <w:r>
              <w:rPr>
                <w:rFonts w:ascii="Calibri" w:hAnsi="Calibri"/>
                <w:sz w:val="18"/>
              </w:rPr>
              <w:t>Float</w:t>
            </w:r>
          </w:p>
        </w:tc>
        <w:tc>
          <w:tcPr>
            <w:tcW w:type="dxa" w:w="5472"/>
            <w:shd w:val="clear" w:color="auto" w:fill="F5F8FD"/>
          </w:tcPr>
          <w:p>
            <w:pPr>
              <w:spacing w:before="40" w:after="40"/>
            </w:pPr>
            <w:r>
              <w:rPr>
                <w:rFonts w:ascii="Calibri" w:hAnsi="Calibri"/>
                <w:sz w:val="18"/>
              </w:rPr>
              <w:t>Interaction too precise for a human: sub-millisecond timing, pixel-perfect mouse paths, no natural hesitation.</w:t>
            </w:r>
          </w:p>
        </w:tc>
      </w:tr>
      <w:tr>
        <w:tc>
          <w:tcPr>
            <w:tcW w:type="dxa" w:w="2736"/>
            <w:shd w:val="clear" w:color="auto" w:fill="FFFFFF"/>
          </w:tcPr>
          <w:p>
            <w:pPr>
              <w:spacing w:before="40" w:after="40"/>
            </w:pPr>
            <w:r>
              <w:rPr>
                <w:rFonts w:ascii="Calibri" w:hAnsi="Calibri"/>
                <w:b/>
                <w:color w:val="192638"/>
                <w:sz w:val="18"/>
              </w:rPr>
              <w:t>session_from_link</w:t>
            </w:r>
          </w:p>
        </w:tc>
        <w:tc>
          <w:tcPr>
            <w:tcW w:type="dxa" w:w="1008"/>
            <w:shd w:val="clear" w:color="auto" w:fill="FFFFFF"/>
          </w:tcPr>
          <w:p>
            <w:pPr>
              <w:spacing w:before="40" w:after="40"/>
            </w:pPr>
            <w:r>
              <w:rPr>
                <w:rFonts w:ascii="Calibri" w:hAnsi="Calibri"/>
                <w:sz w:val="18"/>
              </w:rPr>
              <w:t>Binary</w:t>
            </w:r>
          </w:p>
        </w:tc>
        <w:tc>
          <w:tcPr>
            <w:tcW w:type="dxa" w:w="5472"/>
            <w:shd w:val="clear" w:color="auto" w:fill="FFFFFF"/>
          </w:tcPr>
          <w:p>
            <w:pPr>
              <w:spacing w:before="40" w:after="40"/>
            </w:pPr>
            <w:r>
              <w:rPr>
                <w:rFonts w:ascii="Calibri" w:hAnsi="Calibri"/>
                <w:sz w:val="18"/>
              </w:rPr>
              <w:t>Session opened from an external email or SMS link. iOS: Universal Link referrer. Android: Intent data URI. Browser: document.referrer + ?from= param.</w:t>
            </w:r>
          </w:p>
        </w:tc>
      </w:tr>
      <w:tr>
        <w:tc>
          <w:tcPr>
            <w:tcW w:type="dxa" w:w="2736"/>
            <w:shd w:val="clear" w:color="auto" w:fill="F5F8FD"/>
          </w:tcPr>
          <w:p>
            <w:pPr>
              <w:spacing w:before="40" w:after="40"/>
            </w:pPr>
            <w:r>
              <w:rPr>
                <w:rFonts w:ascii="Calibri" w:hAnsi="Calibri"/>
                <w:b/>
                <w:color w:val="192638"/>
                <w:sz w:val="18"/>
              </w:rPr>
              <w:t>timezone_mismatch</w:t>
            </w:r>
          </w:p>
        </w:tc>
        <w:tc>
          <w:tcPr>
            <w:tcW w:type="dxa" w:w="1008"/>
            <w:shd w:val="clear" w:color="auto" w:fill="F5F8FD"/>
          </w:tcPr>
          <w:p>
            <w:pPr>
              <w:spacing w:before="40" w:after="40"/>
            </w:pPr>
            <w:r>
              <w:rPr>
                <w:rFonts w:ascii="Calibri" w:hAnsi="Calibri"/>
                <w:sz w:val="18"/>
              </w:rPr>
              <w:t>Binary</w:t>
            </w:r>
          </w:p>
        </w:tc>
        <w:tc>
          <w:tcPr>
            <w:tcW w:type="dxa" w:w="5472"/>
            <w:shd w:val="clear" w:color="auto" w:fill="F5F8FD"/>
          </w:tcPr>
          <w:p>
            <w:pPr>
              <w:spacing w:before="40" w:after="40"/>
            </w:pPr>
            <w:r>
              <w:rPr>
                <w:rFonts w:ascii="Calibri" w:hAnsi="Calibri"/>
                <w:sz w:val="18"/>
              </w:rPr>
              <w:t>Browser timezone differs from account's declared location. Real: Intl.DateTimeFormat().resolvedOptions().timeZone vs account profile.</w:t>
            </w:r>
          </w:p>
        </w:tc>
      </w:tr>
      <w:tr>
        <w:tc>
          <w:tcPr>
            <w:tcW w:type="dxa" w:w="2736"/>
            <w:shd w:val="clear" w:color="auto" w:fill="FFFFFF"/>
          </w:tcPr>
          <w:p>
            <w:pPr>
              <w:spacing w:before="40" w:after="40"/>
            </w:pPr>
            <w:r>
              <w:rPr>
                <w:rFonts w:ascii="Calibri" w:hAnsi="Calibri"/>
                <w:b/>
                <w:color w:val="192638"/>
                <w:sz w:val="18"/>
              </w:rPr>
              <w:t>is_known_location</w:t>
            </w:r>
          </w:p>
        </w:tc>
        <w:tc>
          <w:tcPr>
            <w:tcW w:type="dxa" w:w="1008"/>
            <w:shd w:val="clear" w:color="auto" w:fill="FFFFFF"/>
          </w:tcPr>
          <w:p>
            <w:pPr>
              <w:spacing w:before="40" w:after="40"/>
            </w:pPr>
            <w:r>
              <w:rPr>
                <w:rFonts w:ascii="Calibri" w:hAnsi="Calibri"/>
                <w:sz w:val="18"/>
              </w:rPr>
              <w:t>Binary</w:t>
            </w:r>
          </w:p>
        </w:tc>
        <w:tc>
          <w:tcPr>
            <w:tcW w:type="dxa" w:w="5472"/>
            <w:shd w:val="clear" w:color="auto" w:fill="FFFFFF"/>
          </w:tcPr>
          <w:p>
            <w:pPr>
              <w:spacing w:before="40" w:after="40"/>
            </w:pPr>
            <w:r>
              <w:rPr>
                <w:rFonts w:ascii="Calibri" w:hAnsi="Calibri"/>
                <w:sz w:val="18"/>
              </w:rPr>
              <w:t>IP geolocation matches one of the customer's known login locations. Real: MaxMind GeoIP2 lookup + per-user location history.</w:t>
            </w:r>
          </w:p>
        </w:tc>
      </w:tr>
      <w:tr>
        <w:tc>
          <w:tcPr>
            <w:tcW w:type="dxa" w:w="2736"/>
            <w:shd w:val="clear" w:color="auto" w:fill="F5F8FD"/>
          </w:tcPr>
          <w:p>
            <w:pPr>
              <w:spacing w:before="40" w:after="40"/>
            </w:pPr>
            <w:r>
              <w:rPr>
                <w:rFonts w:ascii="Calibri" w:hAnsi="Calibri"/>
                <w:b/>
                <w:color w:val="192638"/>
                <w:sz w:val="18"/>
              </w:rPr>
              <w:t>trust_score_live</w:t>
            </w:r>
          </w:p>
        </w:tc>
        <w:tc>
          <w:tcPr>
            <w:tcW w:type="dxa" w:w="1008"/>
            <w:shd w:val="clear" w:color="auto" w:fill="F5F8FD"/>
          </w:tcPr>
          <w:p>
            <w:pPr>
              <w:spacing w:before="40" w:after="40"/>
            </w:pPr>
            <w:r>
              <w:rPr>
                <w:rFonts w:ascii="Calibri" w:hAnsi="Calibri"/>
                <w:sz w:val="18"/>
              </w:rPr>
              <w:t>Float</w:t>
            </w:r>
          </w:p>
        </w:tc>
        <w:tc>
          <w:tcPr>
            <w:tcW w:type="dxa" w:w="5472"/>
            <w:shd w:val="clear" w:color="auto" w:fill="F5F8FD"/>
          </w:tcPr>
          <w:p>
            <w:pPr>
              <w:spacing w:before="40" w:after="40"/>
            </w:pPr>
            <w:r>
              <w:rPr>
                <w:rFonts w:ascii="Calibri" w:hAnsi="Calibri"/>
                <w:sz w:val="18"/>
              </w:rPr>
              <w:t>Composite: (account_age_days / 90) × (1 - avg_risk_score / 10). Long-standing accounts with clean history score near 10.</w:t>
            </w:r>
          </w:p>
        </w:tc>
      </w:tr>
    </w:tbl>
    <w:p/>
    <w:p>
      <w:pPr>
        <w:pStyle w:val="Heading2"/>
        <w:spacing w:before="240" w:after="80"/>
      </w:pPr>
      <w:r>
        <w:t>3.5  Auto-Detected Session Flags (v2 — Browser JS)</w:t>
      </w:r>
    </w:p>
    <w:p>
      <w:pPr>
        <w:spacing w:before="0" w:after="100" w:line="260" w:lineRule="exact"/>
      </w:pPr>
      <w:r>
        <w:rPr>
          <w:rFonts w:ascii="Calibri" w:hAnsi="Calibri"/>
          <w:b w:val="0"/>
          <w:i w:val="0"/>
          <w:sz w:val="20"/>
        </w:rPr>
        <w:t>Six additional signals are detected passively by the browser JavaScript and reported to the backend via dedicated fire-and-forget API endpoints. These require no presenter intervention and fire automatically when the user performs the triggering action.</w:t>
      </w: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0D47A1"/>
          </w:tcPr>
          <w:p>
            <w:pPr>
              <w:spacing w:before="60" w:after="60"/>
            </w:pPr>
            <w:r>
              <w:rPr>
                <w:rFonts w:ascii="Calibri" w:hAnsi="Calibri"/>
                <w:b/>
                <w:color w:val="FFFFFF"/>
                <w:sz w:val="18"/>
              </w:rPr>
              <w:t>Signal</w:t>
            </w:r>
          </w:p>
        </w:tc>
        <w:tc>
          <w:tcPr>
            <w:tcW w:type="dxa" w:w="3168"/>
            <w:shd w:val="clear" w:color="auto" w:fill="0D47A1"/>
          </w:tcPr>
          <w:p>
            <w:pPr>
              <w:spacing w:before="60" w:after="60"/>
            </w:pPr>
            <w:r>
              <w:rPr>
                <w:rFonts w:ascii="Calibri" w:hAnsi="Calibri"/>
                <w:b/>
                <w:color w:val="FFFFFF"/>
                <w:sz w:val="18"/>
              </w:rPr>
              <w:t>JavaScript Detection Method</w:t>
            </w:r>
          </w:p>
        </w:tc>
        <w:tc>
          <w:tcPr>
            <w:tcW w:type="dxa" w:w="2592"/>
            <w:shd w:val="clear" w:color="auto" w:fill="0D47A1"/>
          </w:tcPr>
          <w:p>
            <w:pPr>
              <w:spacing w:before="60" w:after="60"/>
            </w:pPr>
            <w:r>
              <w:rPr>
                <w:rFonts w:ascii="Calibri" w:hAnsi="Calibri"/>
                <w:b/>
                <w:color w:val="FFFFFF"/>
                <w:sz w:val="18"/>
              </w:rPr>
              <w:t>Backend Endpoint</w:t>
            </w:r>
          </w:p>
        </w:tc>
        <w:tc>
          <w:tcPr>
            <w:tcW w:type="dxa" w:w="1584"/>
            <w:shd w:val="clear" w:color="auto" w:fill="0D47A1"/>
          </w:tcPr>
          <w:p>
            <w:pPr>
              <w:spacing w:before="60" w:after="60"/>
            </w:pPr>
            <w:r>
              <w:rPr>
                <w:rFonts w:ascii="Calibri" w:hAnsi="Calibri"/>
                <w:b/>
                <w:color w:val="FFFFFF"/>
                <w:sz w:val="18"/>
              </w:rPr>
              <w:t>Score Contribution</w:t>
            </w:r>
          </w:p>
        </w:tc>
      </w:tr>
      <w:tr>
        <w:tc>
          <w:tcPr>
            <w:tcW w:type="dxa" w:w="2160"/>
            <w:shd w:val="clear" w:color="auto" w:fill="F5F8FD"/>
          </w:tcPr>
          <w:p>
            <w:pPr>
              <w:spacing w:before="40" w:after="40"/>
            </w:pPr>
            <w:r>
              <w:rPr>
                <w:rFonts w:ascii="Calibri" w:hAnsi="Calibri"/>
                <w:b/>
                <w:color w:val="192638"/>
                <w:sz w:val="18"/>
              </w:rPr>
              <w:t>password_pasted</w:t>
            </w:r>
          </w:p>
        </w:tc>
        <w:tc>
          <w:tcPr>
            <w:tcW w:type="dxa" w:w="3168"/>
            <w:shd w:val="clear" w:color="auto" w:fill="F5F8FD"/>
          </w:tcPr>
          <w:p>
            <w:pPr>
              <w:spacing w:before="40" w:after="40"/>
            </w:pPr>
            <w:r>
              <w:rPr>
                <w:rFonts w:ascii="Calibri" w:hAnsi="Calibri"/>
                <w:sz w:val="18"/>
              </w:rPr>
              <w:t>paste event on #password-field</w:t>
            </w:r>
          </w:p>
        </w:tc>
        <w:tc>
          <w:tcPr>
            <w:tcW w:type="dxa" w:w="2592"/>
            <w:shd w:val="clear" w:color="auto" w:fill="F5F8FD"/>
          </w:tcPr>
          <w:p>
            <w:pPr>
              <w:spacing w:before="40" w:after="40"/>
            </w:pPr>
            <w:r>
              <w:rPr>
                <w:rFonts w:ascii="Calibri" w:hAnsi="Calibri"/>
                <w:sz w:val="18"/>
              </w:rPr>
              <w:t>/api/report-paste</w:t>
            </w:r>
          </w:p>
        </w:tc>
        <w:tc>
          <w:tcPr>
            <w:tcW w:type="dxa" w:w="1584"/>
            <w:shd w:val="clear" w:color="auto" w:fill="F5F8FD"/>
          </w:tcPr>
          <w:p>
            <w:pPr>
              <w:spacing w:before="40" w:after="40"/>
            </w:pPr>
            <w:r>
              <w:rPr>
                <w:rFonts w:ascii="Calibri" w:hAnsi="Calibri"/>
                <w:sz w:val="18"/>
              </w:rPr>
              <w:t>+0.50 flat</w:t>
            </w:r>
          </w:p>
        </w:tc>
      </w:tr>
      <w:tr>
        <w:tc>
          <w:tcPr>
            <w:tcW w:type="dxa" w:w="2160"/>
            <w:shd w:val="clear" w:color="auto" w:fill="FFFFFF"/>
          </w:tcPr>
          <w:p>
            <w:pPr>
              <w:spacing w:before="40" w:after="40"/>
            </w:pPr>
            <w:r>
              <w:rPr>
                <w:rFonts w:ascii="Calibri" w:hAnsi="Calibri"/>
                <w:b/>
                <w:color w:val="192638"/>
                <w:sz w:val="18"/>
              </w:rPr>
              <w:t>clipboard_activity</w:t>
            </w:r>
          </w:p>
        </w:tc>
        <w:tc>
          <w:tcPr>
            <w:tcW w:type="dxa" w:w="3168"/>
            <w:shd w:val="clear" w:color="auto" w:fill="FFFFFF"/>
          </w:tcPr>
          <w:p>
            <w:pPr>
              <w:spacing w:before="40" w:after="40"/>
            </w:pPr>
            <w:r>
              <w:rPr>
                <w:rFonts w:ascii="Calibri" w:hAnsi="Calibri"/>
                <w:sz w:val="18"/>
              </w:rPr>
              <w:t>paste event on #recipient-iban or #amount</w:t>
            </w:r>
          </w:p>
        </w:tc>
        <w:tc>
          <w:tcPr>
            <w:tcW w:type="dxa" w:w="2592"/>
            <w:shd w:val="clear" w:color="auto" w:fill="FFFFFF"/>
          </w:tcPr>
          <w:p>
            <w:pPr>
              <w:spacing w:before="40" w:after="40"/>
            </w:pPr>
            <w:r>
              <w:rPr>
                <w:rFonts w:ascii="Calibri" w:hAnsi="Calibri"/>
                <w:sz w:val="18"/>
              </w:rPr>
              <w:t>/api/report-clipboard</w:t>
            </w:r>
          </w:p>
        </w:tc>
        <w:tc>
          <w:tcPr>
            <w:tcW w:type="dxa" w:w="1584"/>
            <w:shd w:val="clear" w:color="auto" w:fill="FFFFFF"/>
          </w:tcPr>
          <w:p>
            <w:pPr>
              <w:spacing w:before="40" w:after="40"/>
            </w:pPr>
            <w:r>
              <w:rPr>
                <w:rFonts w:ascii="Calibri" w:hAnsi="Calibri"/>
                <w:sz w:val="18"/>
              </w:rPr>
              <w:t>+0.50 flat</w:t>
            </w:r>
          </w:p>
        </w:tc>
      </w:tr>
      <w:tr>
        <w:tc>
          <w:tcPr>
            <w:tcW w:type="dxa" w:w="2160"/>
            <w:shd w:val="clear" w:color="auto" w:fill="F5F8FD"/>
          </w:tcPr>
          <w:p>
            <w:pPr>
              <w:spacing w:before="40" w:after="40"/>
            </w:pPr>
            <w:r>
              <w:rPr>
                <w:rFonts w:ascii="Calibri" w:hAnsi="Calibri"/>
                <w:b/>
                <w:color w:val="192638"/>
                <w:sz w:val="18"/>
              </w:rPr>
              <w:t>tab_switched</w:t>
            </w:r>
          </w:p>
        </w:tc>
        <w:tc>
          <w:tcPr>
            <w:tcW w:type="dxa" w:w="3168"/>
            <w:shd w:val="clear" w:color="auto" w:fill="F5F8FD"/>
          </w:tcPr>
          <w:p>
            <w:pPr>
              <w:spacing w:before="40" w:after="40"/>
            </w:pPr>
            <w:r>
              <w:rPr>
                <w:rFonts w:ascii="Calibri" w:hAnsi="Calibri"/>
                <w:sz w:val="18"/>
              </w:rPr>
              <w:t>document.addEventListener(visibilitychange)</w:t>
            </w:r>
          </w:p>
        </w:tc>
        <w:tc>
          <w:tcPr>
            <w:tcW w:type="dxa" w:w="2592"/>
            <w:shd w:val="clear" w:color="auto" w:fill="F5F8FD"/>
          </w:tcPr>
          <w:p>
            <w:pPr>
              <w:spacing w:before="40" w:after="40"/>
            </w:pPr>
            <w:r>
              <w:rPr>
                <w:rFonts w:ascii="Calibri" w:hAnsi="Calibri"/>
                <w:sz w:val="18"/>
              </w:rPr>
              <w:t>/api/report-tab-switch</w:t>
            </w:r>
          </w:p>
        </w:tc>
        <w:tc>
          <w:tcPr>
            <w:tcW w:type="dxa" w:w="1584"/>
            <w:shd w:val="clear" w:color="auto" w:fill="F5F8FD"/>
          </w:tcPr>
          <w:p>
            <w:pPr>
              <w:spacing w:before="40" w:after="40"/>
            </w:pPr>
            <w:r>
              <w:rPr>
                <w:rFonts w:ascii="Calibri" w:hAnsi="Calibri"/>
                <w:sz w:val="18"/>
              </w:rPr>
              <w:t>+0.40 flat</w:t>
            </w:r>
          </w:p>
        </w:tc>
      </w:tr>
      <w:tr>
        <w:tc>
          <w:tcPr>
            <w:tcW w:type="dxa" w:w="2160"/>
            <w:shd w:val="clear" w:color="auto" w:fill="FFFFFF"/>
          </w:tcPr>
          <w:p>
            <w:pPr>
              <w:spacing w:before="40" w:after="40"/>
            </w:pPr>
            <w:r>
              <w:rPr>
                <w:rFonts w:ascii="Calibri" w:hAnsi="Calibri"/>
                <w:b/>
                <w:color w:val="192638"/>
                <w:sz w:val="18"/>
              </w:rPr>
              <w:t>unknown_iban</w:t>
            </w:r>
          </w:p>
        </w:tc>
        <w:tc>
          <w:tcPr>
            <w:tcW w:type="dxa" w:w="3168"/>
            <w:shd w:val="clear" w:color="auto" w:fill="FFFFFF"/>
          </w:tcPr>
          <w:p>
            <w:pPr>
              <w:spacing w:before="40" w:after="40"/>
            </w:pPr>
            <w:r>
              <w:rPr>
                <w:rFonts w:ascii="Calibri" w:hAnsi="Calibri"/>
                <w:sz w:val="18"/>
              </w:rPr>
              <w:t>IBAN not in knownIBANs Set (loaded from saved_recipients)</w:t>
            </w:r>
          </w:p>
        </w:tc>
        <w:tc>
          <w:tcPr>
            <w:tcW w:type="dxa" w:w="2592"/>
            <w:shd w:val="clear" w:color="auto" w:fill="FFFFFF"/>
          </w:tcPr>
          <w:p>
            <w:pPr>
              <w:spacing w:before="40" w:after="40"/>
            </w:pPr>
            <w:r>
              <w:rPr>
                <w:rFonts w:ascii="Calibri" w:hAnsi="Calibri"/>
                <w:sz w:val="18"/>
              </w:rPr>
              <w:t>/api/report-unknown-iban</w:t>
            </w:r>
          </w:p>
        </w:tc>
        <w:tc>
          <w:tcPr>
            <w:tcW w:type="dxa" w:w="1584"/>
            <w:shd w:val="clear" w:color="auto" w:fill="FFFFFF"/>
          </w:tcPr>
          <w:p>
            <w:pPr>
              <w:spacing w:before="40" w:after="40"/>
            </w:pPr>
            <w:r>
              <w:rPr>
                <w:rFonts w:ascii="Calibri" w:hAnsi="Calibri"/>
                <w:sz w:val="18"/>
              </w:rPr>
              <w:t>+0.60 flat</w:t>
            </w:r>
          </w:p>
        </w:tc>
      </w:tr>
      <w:tr>
        <w:tc>
          <w:tcPr>
            <w:tcW w:type="dxa" w:w="2160"/>
            <w:shd w:val="clear" w:color="auto" w:fill="F5F8FD"/>
          </w:tcPr>
          <w:p>
            <w:pPr>
              <w:spacing w:before="40" w:after="40"/>
            </w:pPr>
            <w:r>
              <w:rPr>
                <w:rFonts w:ascii="Calibri" w:hAnsi="Calibri"/>
                <w:b/>
                <w:color w:val="192638"/>
                <w:sz w:val="18"/>
              </w:rPr>
              <w:t>new_recipient</w:t>
            </w:r>
          </w:p>
        </w:tc>
        <w:tc>
          <w:tcPr>
            <w:tcW w:type="dxa" w:w="3168"/>
            <w:shd w:val="clear" w:color="auto" w:fill="F5F8FD"/>
          </w:tcPr>
          <w:p>
            <w:pPr>
              <w:spacing w:before="40" w:after="40"/>
            </w:pPr>
            <w:r>
              <w:rPr>
                <w:rFonts w:ascii="Calibri" w:hAnsi="Calibri"/>
                <w:sz w:val="18"/>
              </w:rPr>
              <w:t>Set server-side when /api/recipients/add called</w:t>
            </w:r>
          </w:p>
        </w:tc>
        <w:tc>
          <w:tcPr>
            <w:tcW w:type="dxa" w:w="2592"/>
            <w:shd w:val="clear" w:color="auto" w:fill="F5F8FD"/>
          </w:tcPr>
          <w:p>
            <w:pPr>
              <w:spacing w:before="40" w:after="40"/>
            </w:pPr>
            <w:r>
              <w:rPr>
                <w:rFonts w:ascii="Calibri" w:hAnsi="Calibri"/>
                <w:sz w:val="18"/>
              </w:rPr>
              <w:t>—</w:t>
            </w:r>
          </w:p>
        </w:tc>
        <w:tc>
          <w:tcPr>
            <w:tcW w:type="dxa" w:w="1584"/>
            <w:shd w:val="clear" w:color="auto" w:fill="F5F8FD"/>
          </w:tcPr>
          <w:p>
            <w:pPr>
              <w:spacing w:before="40" w:after="40"/>
            </w:pPr>
            <w:r>
              <w:rPr>
                <w:rFonts w:ascii="Calibri" w:hAnsi="Calibri"/>
                <w:sz w:val="18"/>
              </w:rPr>
              <w:t>+0.50 flat</w:t>
            </w:r>
          </w:p>
        </w:tc>
      </w:tr>
      <w:tr>
        <w:tc>
          <w:tcPr>
            <w:tcW w:type="dxa" w:w="2160"/>
            <w:shd w:val="clear" w:color="auto" w:fill="FFFFFF"/>
          </w:tcPr>
          <w:p>
            <w:pPr>
              <w:spacing w:before="40" w:after="40"/>
            </w:pPr>
            <w:r>
              <w:rPr>
                <w:rFonts w:ascii="Calibri" w:hAnsi="Calibri"/>
                <w:b/>
                <w:color w:val="192638"/>
                <w:sz w:val="18"/>
              </w:rPr>
              <w:t>session_from_link</w:t>
            </w:r>
          </w:p>
        </w:tc>
        <w:tc>
          <w:tcPr>
            <w:tcW w:type="dxa" w:w="3168"/>
            <w:shd w:val="clear" w:color="auto" w:fill="FFFFFF"/>
          </w:tcPr>
          <w:p>
            <w:pPr>
              <w:spacing w:before="40" w:after="40"/>
            </w:pPr>
            <w:r>
              <w:rPr>
                <w:rFonts w:ascii="Calibri" w:hAnsi="Calibri"/>
                <w:sz w:val="18"/>
              </w:rPr>
              <w:t>document.referrer != origin OR ?from=email/sms param</w:t>
            </w:r>
          </w:p>
        </w:tc>
        <w:tc>
          <w:tcPr>
            <w:tcW w:type="dxa" w:w="2592"/>
            <w:shd w:val="clear" w:color="auto" w:fill="FFFFFF"/>
          </w:tcPr>
          <w:p>
            <w:pPr>
              <w:spacing w:before="40" w:after="40"/>
            </w:pPr>
            <w:r>
              <w:rPr>
                <w:rFonts w:ascii="Calibri" w:hAnsi="Calibri"/>
                <w:sz w:val="18"/>
              </w:rPr>
              <w:t>/api/report-referrer</w:t>
            </w:r>
          </w:p>
        </w:tc>
        <w:tc>
          <w:tcPr>
            <w:tcW w:type="dxa" w:w="1584"/>
            <w:shd w:val="clear" w:color="auto" w:fill="FFFFFF"/>
          </w:tcPr>
          <w:p>
            <w:pPr>
              <w:spacing w:before="40" w:after="40"/>
            </w:pPr>
            <w:r>
              <w:rPr>
                <w:rFonts w:ascii="Calibri" w:hAnsi="Calibri"/>
                <w:sz w:val="18"/>
              </w:rPr>
              <w:t>HIGH tier ×2.5 (+2.00)</w:t>
            </w:r>
          </w:p>
        </w:tc>
      </w:tr>
    </w:tbl>
    <w:p/>
    <w:p>
      <w:r>
        <w:br w:type="page"/>
      </w:r>
    </w:p>
    <w:p>
      <w:pPr>
        <w:pStyle w:val="Heading1"/>
        <w:spacing w:before="360" w:after="120"/>
      </w:pPr>
      <w:r>
        <w:t>4.  The Scoring Engine</w:t>
      </w:r>
    </w:p>
    <w:p>
      <w:pPr>
        <w:pStyle w:val="Heading2"/>
        <w:spacing w:before="240" w:after="80"/>
      </w:pPr>
      <w:r>
        <w:t>4.1  Deterministic Rule-Based Formula</w:t>
      </w:r>
    </w:p>
    <w:p>
      <w:pPr>
        <w:spacing w:before="0" w:after="100" w:line="260" w:lineRule="exact"/>
      </w:pPr>
      <w:r>
        <w:rPr>
          <w:rFonts w:ascii="Calibri" w:hAnsi="Calibri"/>
          <w:b w:val="0"/>
          <w:i w:val="0"/>
          <w:sz w:val="20"/>
        </w:rPr>
        <w:t>The transfer flow (LOW / MEDIUM / HIGH branching) is driven by a deterministic rule-based scoring function called calculate_risk_score(). It was chosen over the XGBoost model for the transfer decision because it produces perfectly predictable, presenter-controllable outcomes — essential for a live demo. In production, both engines would run in parallel and their outputs would be combined.</w:t>
      </w:r>
    </w:p>
    <w:p>
      <w:pPr>
        <w:spacing w:before="0" w:after="100" w:line="260" w:lineRule="exact"/>
      </w:pPr>
      <w:r>
        <w:rPr>
          <w:rFonts w:ascii="Calibri" w:hAnsi="Calibri"/>
          <w:b w:val="0"/>
          <w:i w:val="0"/>
          <w:sz w:val="20"/>
        </w:rPr>
        <w:t>The formula has four additive stages followed by an amount-based floor and scalar:</w:t>
      </w:r>
    </w:p>
    <w:p>
      <w:pPr>
        <w:spacing w:before="80" w:after="80"/>
        <w:ind w:left="576"/>
        <w:shd w:val="clear" w:color="auto" w:fill="F0F4F8"/>
      </w:pPr>
      <w:r>
        <w:rPr>
          <w:rFonts w:ascii="Courier New" w:hAnsi="Courier New"/>
          <w:color w:val="0D3B8A"/>
          <w:sz w:val="17"/>
        </w:rPr>
        <w:t>SCORE = 1.0  [BASE]</w:t>
        <w:br/>
        <w:t xml:space="preserve">      + Flat_Session_Additions</w:t>
        <w:br/>
        <w:t xml:space="preserve">      + MEDIUM_Signal_Sum  × 1.5</w:t>
        <w:br/>
        <w:t xml:space="preserve">      + HIGH_Signal_Sum    × 2.5</w:t>
        <w:br/>
        <w:t xml:space="preserve">      → if amount &gt; 90,000 ALL:  SCORE = max(SCORE, 3.5)   [hard MEDIUM floor]</w:t>
        <w:br/>
        <w:t xml:space="preserve">      → if amount &gt; 90,000 ALL:  SCORE × 1.15              [amount scalar]</w:t>
        <w:br/>
        <w:t xml:space="preserve">      → clamp to [0.0, 10.0]</w:t>
      </w:r>
    </w:p>
    <w:p>
      <w:pPr>
        <w:pStyle w:val="Heading3"/>
        <w:spacing w:before="160" w:after="60"/>
      </w:pPr>
      <w:r>
        <w:t>4.1.1  Stage 1 — Flat Session Additions</w:t>
      </w:r>
    </w:p>
    <w:p>
      <w:pPr>
        <w:spacing w:before="0" w:after="100" w:line="260" w:lineRule="exact"/>
      </w:pPr>
      <w:r>
        <w:rPr>
          <w:rFonts w:ascii="Calibri" w:hAnsi="Calibri"/>
          <w:b w:val="0"/>
          <w:i w:val="0"/>
          <w:sz w:val="20"/>
        </w:rPr>
        <w:t>Each flag is applied once per session (not per transfer) and adds a flat amount to the base score:</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D47A1"/>
          </w:tcPr>
          <w:p>
            <w:pPr>
              <w:spacing w:before="60" w:after="60"/>
            </w:pPr>
            <w:r>
              <w:rPr>
                <w:rFonts w:ascii="Calibri" w:hAnsi="Calibri"/>
                <w:b/>
                <w:color w:val="FFFFFF"/>
                <w:sz w:val="18"/>
              </w:rPr>
              <w:t>Session Flag</w:t>
            </w:r>
          </w:p>
        </w:tc>
        <w:tc>
          <w:tcPr>
            <w:tcW w:type="dxa" w:w="1152"/>
            <w:shd w:val="clear" w:color="auto" w:fill="0D47A1"/>
          </w:tcPr>
          <w:p>
            <w:pPr>
              <w:spacing w:before="60" w:after="60"/>
            </w:pPr>
            <w:r>
              <w:rPr>
                <w:rFonts w:ascii="Calibri" w:hAnsi="Calibri"/>
                <w:b/>
                <w:color w:val="FFFFFF"/>
                <w:sz w:val="18"/>
              </w:rPr>
              <w:t>Addition</w:t>
            </w:r>
          </w:p>
        </w:tc>
        <w:tc>
          <w:tcPr>
            <w:tcW w:type="dxa" w:w="5184"/>
            <w:shd w:val="clear" w:color="auto" w:fill="0D47A1"/>
          </w:tcPr>
          <w:p>
            <w:pPr>
              <w:spacing w:before="60" w:after="60"/>
            </w:pPr>
            <w:r>
              <w:rPr>
                <w:rFonts w:ascii="Calibri" w:hAnsi="Calibri"/>
                <w:b/>
                <w:color w:val="FFFFFF"/>
                <w:sz w:val="18"/>
              </w:rPr>
              <w:t>Rationale</w:t>
            </w:r>
          </w:p>
        </w:tc>
      </w:tr>
      <w:tr>
        <w:tc>
          <w:tcPr>
            <w:tcW w:type="dxa" w:w="2880"/>
            <w:shd w:val="clear" w:color="auto" w:fill="F5F8FD"/>
          </w:tcPr>
          <w:p>
            <w:pPr>
              <w:spacing w:before="40" w:after="40"/>
            </w:pPr>
            <w:r>
              <w:rPr>
                <w:rFonts w:ascii="Calibri" w:hAnsi="Calibri"/>
                <w:b/>
                <w:color w:val="192638"/>
                <w:sz w:val="18"/>
              </w:rPr>
              <w:t>password_pasted</w:t>
            </w:r>
          </w:p>
        </w:tc>
        <w:tc>
          <w:tcPr>
            <w:tcW w:type="dxa" w:w="1152"/>
            <w:shd w:val="clear" w:color="auto" w:fill="F5F8FD"/>
          </w:tcPr>
          <w:p>
            <w:pPr>
              <w:spacing w:before="40" w:after="40"/>
            </w:pPr>
            <w:r>
              <w:rPr>
                <w:rFonts w:ascii="Calibri" w:hAnsi="Calibri"/>
                <w:sz w:val="18"/>
              </w:rPr>
              <w:t>+0.50</w:t>
            </w:r>
          </w:p>
        </w:tc>
        <w:tc>
          <w:tcPr>
            <w:tcW w:type="dxa" w:w="5184"/>
            <w:shd w:val="clear" w:color="auto" w:fill="F5F8FD"/>
          </w:tcPr>
          <w:p>
            <w:pPr>
              <w:spacing w:before="40" w:after="40"/>
            </w:pPr>
            <w:r>
              <w:rPr>
                <w:rFonts w:ascii="Calibri" w:hAnsi="Calibri"/>
                <w:sz w:val="18"/>
              </w:rPr>
              <w:t>Pasting credentials from clipboard = possible phishing or credential-stuffing attack</w:t>
            </w:r>
          </w:p>
        </w:tc>
      </w:tr>
      <w:tr>
        <w:tc>
          <w:tcPr>
            <w:tcW w:type="dxa" w:w="2880"/>
            <w:shd w:val="clear" w:color="auto" w:fill="FFFFFF"/>
          </w:tcPr>
          <w:p>
            <w:pPr>
              <w:spacing w:before="40" w:after="40"/>
            </w:pPr>
            <w:r>
              <w:rPr>
                <w:rFonts w:ascii="Calibri" w:hAnsi="Calibri"/>
                <w:b/>
                <w:color w:val="192638"/>
                <w:sz w:val="18"/>
              </w:rPr>
              <w:t>new_recipient</w:t>
            </w:r>
          </w:p>
        </w:tc>
        <w:tc>
          <w:tcPr>
            <w:tcW w:type="dxa" w:w="1152"/>
            <w:shd w:val="clear" w:color="auto" w:fill="FFFFFF"/>
          </w:tcPr>
          <w:p>
            <w:pPr>
              <w:spacing w:before="40" w:after="40"/>
            </w:pPr>
            <w:r>
              <w:rPr>
                <w:rFonts w:ascii="Calibri" w:hAnsi="Calibri"/>
                <w:sz w:val="18"/>
              </w:rPr>
              <w:t>+0.50</w:t>
            </w:r>
          </w:p>
        </w:tc>
        <w:tc>
          <w:tcPr>
            <w:tcW w:type="dxa" w:w="5184"/>
            <w:shd w:val="clear" w:color="auto" w:fill="FFFFFF"/>
          </w:tcPr>
          <w:p>
            <w:pPr>
              <w:spacing w:before="40" w:after="40"/>
            </w:pPr>
            <w:r>
              <w:rPr>
                <w:rFonts w:ascii="Calibri" w:hAnsi="Calibri"/>
                <w:sz w:val="18"/>
              </w:rPr>
              <w:t>Recipient added this session = no historical relationship established</w:t>
            </w:r>
          </w:p>
        </w:tc>
      </w:tr>
      <w:tr>
        <w:tc>
          <w:tcPr>
            <w:tcW w:type="dxa" w:w="2880"/>
            <w:shd w:val="clear" w:color="auto" w:fill="F5F8FD"/>
          </w:tcPr>
          <w:p>
            <w:pPr>
              <w:spacing w:before="40" w:after="40"/>
            </w:pPr>
            <w:r>
              <w:rPr>
                <w:rFonts w:ascii="Calibri" w:hAnsi="Calibri"/>
                <w:b/>
                <w:color w:val="192638"/>
                <w:sz w:val="18"/>
              </w:rPr>
              <w:t>profile_updated</w:t>
            </w:r>
          </w:p>
        </w:tc>
        <w:tc>
          <w:tcPr>
            <w:tcW w:type="dxa" w:w="1152"/>
            <w:shd w:val="clear" w:color="auto" w:fill="F5F8FD"/>
          </w:tcPr>
          <w:p>
            <w:pPr>
              <w:spacing w:before="40" w:after="40"/>
            </w:pPr>
            <w:r>
              <w:rPr>
                <w:rFonts w:ascii="Calibri" w:hAnsi="Calibri"/>
                <w:sz w:val="18"/>
              </w:rPr>
              <w:t>+0.50</w:t>
            </w:r>
          </w:p>
        </w:tc>
        <w:tc>
          <w:tcPr>
            <w:tcW w:type="dxa" w:w="5184"/>
            <w:shd w:val="clear" w:color="auto" w:fill="F5F8FD"/>
          </w:tcPr>
          <w:p>
            <w:pPr>
              <w:spacing w:before="40" w:after="40"/>
            </w:pPr>
            <w:r>
              <w:rPr>
                <w:rFonts w:ascii="Calibri" w:hAnsi="Calibri"/>
                <w:sz w:val="18"/>
              </w:rPr>
              <w:t>Profile changes before transfer = attacker reconfiguring account to intercept</w:t>
            </w:r>
          </w:p>
        </w:tc>
      </w:tr>
      <w:tr>
        <w:tc>
          <w:tcPr>
            <w:tcW w:type="dxa" w:w="2880"/>
            <w:shd w:val="clear" w:color="auto" w:fill="FFFFFF"/>
          </w:tcPr>
          <w:p>
            <w:pPr>
              <w:spacing w:before="40" w:after="40"/>
            </w:pPr>
            <w:r>
              <w:rPr>
                <w:rFonts w:ascii="Calibri" w:hAnsi="Calibri"/>
                <w:b/>
                <w:color w:val="192638"/>
                <w:sz w:val="18"/>
              </w:rPr>
              <w:t>clipboard_activity</w:t>
            </w:r>
          </w:p>
        </w:tc>
        <w:tc>
          <w:tcPr>
            <w:tcW w:type="dxa" w:w="1152"/>
            <w:shd w:val="clear" w:color="auto" w:fill="FFFFFF"/>
          </w:tcPr>
          <w:p>
            <w:pPr>
              <w:spacing w:before="40" w:after="40"/>
            </w:pPr>
            <w:r>
              <w:rPr>
                <w:rFonts w:ascii="Calibri" w:hAnsi="Calibri"/>
                <w:sz w:val="18"/>
              </w:rPr>
              <w:t>+0.50</w:t>
            </w:r>
          </w:p>
        </w:tc>
        <w:tc>
          <w:tcPr>
            <w:tcW w:type="dxa" w:w="5184"/>
            <w:shd w:val="clear" w:color="auto" w:fill="FFFFFF"/>
          </w:tcPr>
          <w:p>
            <w:pPr>
              <w:spacing w:before="40" w:after="40"/>
            </w:pPr>
            <w:r>
              <w:rPr>
                <w:rFonts w:ascii="Calibri" w:hAnsi="Calibri"/>
                <w:sz w:val="18"/>
              </w:rPr>
              <w:t>Pasting IBAN or amount = possibly directed by scammer or automated</w:t>
            </w:r>
          </w:p>
        </w:tc>
      </w:tr>
      <w:tr>
        <w:tc>
          <w:tcPr>
            <w:tcW w:type="dxa" w:w="2880"/>
            <w:shd w:val="clear" w:color="auto" w:fill="F5F8FD"/>
          </w:tcPr>
          <w:p>
            <w:pPr>
              <w:spacing w:before="40" w:after="40"/>
            </w:pPr>
            <w:r>
              <w:rPr>
                <w:rFonts w:ascii="Calibri" w:hAnsi="Calibri"/>
                <w:b/>
                <w:color w:val="192638"/>
                <w:sz w:val="18"/>
              </w:rPr>
              <w:t>tab_switched</w:t>
            </w:r>
          </w:p>
        </w:tc>
        <w:tc>
          <w:tcPr>
            <w:tcW w:type="dxa" w:w="1152"/>
            <w:shd w:val="clear" w:color="auto" w:fill="F5F8FD"/>
          </w:tcPr>
          <w:p>
            <w:pPr>
              <w:spacing w:before="40" w:after="40"/>
            </w:pPr>
            <w:r>
              <w:rPr>
                <w:rFonts w:ascii="Calibri" w:hAnsi="Calibri"/>
                <w:sz w:val="18"/>
              </w:rPr>
              <w:t>+0.40</w:t>
            </w:r>
          </w:p>
        </w:tc>
        <w:tc>
          <w:tcPr>
            <w:tcW w:type="dxa" w:w="5184"/>
            <w:shd w:val="clear" w:color="auto" w:fill="F5F8FD"/>
          </w:tcPr>
          <w:p>
            <w:pPr>
              <w:spacing w:before="40" w:after="40"/>
            </w:pPr>
            <w:r>
              <w:rPr>
                <w:rFonts w:ascii="Calibri" w:hAnsi="Calibri"/>
                <w:sz w:val="18"/>
              </w:rPr>
              <w:t>Switching away during form fill = checking instructions, being coached</w:t>
            </w:r>
          </w:p>
        </w:tc>
      </w:tr>
      <w:tr>
        <w:tc>
          <w:tcPr>
            <w:tcW w:type="dxa" w:w="2880"/>
            <w:shd w:val="clear" w:color="auto" w:fill="FFFFFF"/>
          </w:tcPr>
          <w:p>
            <w:pPr>
              <w:spacing w:before="40" w:after="40"/>
            </w:pPr>
            <w:r>
              <w:rPr>
                <w:rFonts w:ascii="Calibri" w:hAnsi="Calibri"/>
                <w:b/>
                <w:color w:val="192638"/>
                <w:sz w:val="18"/>
              </w:rPr>
              <w:t>unknown_iban</w:t>
            </w:r>
          </w:p>
        </w:tc>
        <w:tc>
          <w:tcPr>
            <w:tcW w:type="dxa" w:w="1152"/>
            <w:shd w:val="clear" w:color="auto" w:fill="FFFFFF"/>
          </w:tcPr>
          <w:p>
            <w:pPr>
              <w:spacing w:before="40" w:after="40"/>
            </w:pPr>
            <w:r>
              <w:rPr>
                <w:rFonts w:ascii="Calibri" w:hAnsi="Calibri"/>
                <w:sz w:val="18"/>
              </w:rPr>
              <w:t>+0.60</w:t>
            </w:r>
          </w:p>
        </w:tc>
        <w:tc>
          <w:tcPr>
            <w:tcW w:type="dxa" w:w="5184"/>
            <w:shd w:val="clear" w:color="auto" w:fill="FFFFFF"/>
          </w:tcPr>
          <w:p>
            <w:pPr>
              <w:spacing w:before="40" w:after="40"/>
            </w:pPr>
            <w:r>
              <w:rPr>
                <w:rFonts w:ascii="Calibri" w:hAnsi="Calibri"/>
                <w:sz w:val="18"/>
              </w:rPr>
              <w:t>IBAN typed directly, not from saved recipients = no prior relationship verified</w:t>
            </w:r>
          </w:p>
        </w:tc>
      </w:tr>
      <w:tr>
        <w:tc>
          <w:tcPr>
            <w:tcW w:type="dxa" w:w="2880"/>
            <w:shd w:val="clear" w:color="auto" w:fill="F5F8FD"/>
          </w:tcPr>
          <w:p>
            <w:pPr>
              <w:spacing w:before="40" w:after="40"/>
            </w:pPr>
            <w:r>
              <w:rPr>
                <w:rFonts w:ascii="Calibri" w:hAnsi="Calibri"/>
                <w:b/>
                <w:color w:val="192638"/>
                <w:sz w:val="18"/>
              </w:rPr>
              <w:t>amount &gt; 90,000 ALL</w:t>
            </w:r>
          </w:p>
        </w:tc>
        <w:tc>
          <w:tcPr>
            <w:tcW w:type="dxa" w:w="1152"/>
            <w:shd w:val="clear" w:color="auto" w:fill="F5F8FD"/>
          </w:tcPr>
          <w:p>
            <w:pPr>
              <w:spacing w:before="40" w:after="40"/>
            </w:pPr>
            <w:r>
              <w:rPr>
                <w:rFonts w:ascii="Calibri" w:hAnsi="Calibri"/>
                <w:sz w:val="18"/>
              </w:rPr>
              <w:t>+1.00</w:t>
            </w:r>
          </w:p>
        </w:tc>
        <w:tc>
          <w:tcPr>
            <w:tcW w:type="dxa" w:w="5184"/>
            <w:shd w:val="clear" w:color="auto" w:fill="F5F8FD"/>
          </w:tcPr>
          <w:p>
            <w:pPr>
              <w:spacing w:before="40" w:after="40"/>
            </w:pPr>
            <w:r>
              <w:rPr>
                <w:rFonts w:ascii="Calibri" w:hAnsi="Calibri"/>
                <w:sz w:val="18"/>
              </w:rPr>
              <w:t>Large transfer = elevated financial exposure; always adds score</w:t>
            </w:r>
          </w:p>
        </w:tc>
      </w:tr>
    </w:tbl>
    <w:p/>
    <w:p>
      <w:pPr>
        <w:pStyle w:val="Heading3"/>
        <w:spacing w:before="160" w:after="60"/>
      </w:pPr>
      <w:r>
        <w:t>4.1.2  Stage 2 — MEDIUM Tier Signals (Sum × 1.5)</w:t>
      </w:r>
    </w:p>
    <w:p>
      <w:pPr>
        <w:spacing w:before="0" w:after="100" w:line="260" w:lineRule="exact"/>
      </w:pPr>
      <w:r>
        <w:rPr>
          <w:rFonts w:ascii="Calibri" w:hAnsi="Calibri"/>
          <w:b w:val="0"/>
          <w:i w:val="0"/>
          <w:sz w:val="20"/>
        </w:rPr>
        <w:t>These signals individually suggest suspicious patterns. Their contributions are summed and multiplied by 1.5:</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0D47A1"/>
          </w:tcPr>
          <w:p>
            <w:pPr>
              <w:spacing w:before="60" w:after="60"/>
            </w:pPr>
            <w:r>
              <w:rPr>
                <w:rFonts w:ascii="Calibri" w:hAnsi="Calibri"/>
                <w:b/>
                <w:color w:val="FFFFFF"/>
                <w:sz w:val="18"/>
              </w:rPr>
              <w:t>Signal Condition</w:t>
            </w:r>
          </w:p>
        </w:tc>
        <w:tc>
          <w:tcPr>
            <w:tcW w:type="dxa" w:w="1296"/>
            <w:shd w:val="clear" w:color="auto" w:fill="0D47A1"/>
          </w:tcPr>
          <w:p>
            <w:pPr>
              <w:spacing w:before="60" w:after="60"/>
            </w:pPr>
            <w:r>
              <w:rPr>
                <w:rFonts w:ascii="Calibri" w:hAnsi="Calibri"/>
                <w:b/>
                <w:color w:val="FFFFFF"/>
                <w:sz w:val="18"/>
              </w:rPr>
              <w:t>Raw Value</w:t>
            </w:r>
          </w:p>
        </w:tc>
        <w:tc>
          <w:tcPr>
            <w:tcW w:type="dxa" w:w="1296"/>
            <w:shd w:val="clear" w:color="auto" w:fill="0D47A1"/>
          </w:tcPr>
          <w:p>
            <w:pPr>
              <w:spacing w:before="60" w:after="60"/>
            </w:pPr>
            <w:r>
              <w:rPr>
                <w:rFonts w:ascii="Calibri" w:hAnsi="Calibri"/>
                <w:b/>
                <w:color w:val="FFFFFF"/>
                <w:sz w:val="18"/>
              </w:rPr>
              <w:t>After ×1.5</w:t>
            </w:r>
          </w:p>
        </w:tc>
        <w:tc>
          <w:tcPr>
            <w:tcW w:type="dxa" w:w="3456"/>
            <w:shd w:val="clear" w:color="auto" w:fill="0D47A1"/>
          </w:tcPr>
          <w:p>
            <w:pPr>
              <w:spacing w:before="60" w:after="60"/>
            </w:pPr>
            <w:r>
              <w:rPr>
                <w:rFonts w:ascii="Calibri" w:hAnsi="Calibri"/>
                <w:b/>
                <w:color w:val="FFFFFF"/>
                <w:sz w:val="18"/>
              </w:rPr>
              <w:t>Fraud Pattern</w:t>
            </w:r>
          </w:p>
        </w:tc>
      </w:tr>
      <w:tr>
        <w:tc>
          <w:tcPr>
            <w:tcW w:type="dxa" w:w="3168"/>
            <w:shd w:val="clear" w:color="auto" w:fill="F5F8FD"/>
          </w:tcPr>
          <w:p>
            <w:pPr>
              <w:spacing w:before="40" w:after="40"/>
            </w:pPr>
            <w:r>
              <w:rPr>
                <w:rFonts w:ascii="Calibri" w:hAnsi="Calibri"/>
                <w:b/>
                <w:color w:val="192638"/>
                <w:sz w:val="18"/>
              </w:rPr>
              <w:t>timezone_mismatch = 1</w:t>
            </w:r>
          </w:p>
        </w:tc>
        <w:tc>
          <w:tcPr>
            <w:tcW w:type="dxa" w:w="1296"/>
            <w:shd w:val="clear" w:color="auto" w:fill="F5F8FD"/>
          </w:tcPr>
          <w:p>
            <w:pPr>
              <w:spacing w:before="40" w:after="40"/>
            </w:pPr>
            <w:r>
              <w:rPr>
                <w:rFonts w:ascii="Calibri" w:hAnsi="Calibri"/>
                <w:sz w:val="18"/>
              </w:rPr>
              <w:t>+0.50</w:t>
            </w:r>
          </w:p>
        </w:tc>
        <w:tc>
          <w:tcPr>
            <w:tcW w:type="dxa" w:w="1296"/>
            <w:shd w:val="clear" w:color="auto" w:fill="F5F8FD"/>
          </w:tcPr>
          <w:p>
            <w:pPr>
              <w:spacing w:before="40" w:after="40"/>
            </w:pPr>
            <w:r>
              <w:rPr>
                <w:rFonts w:ascii="Calibri" w:hAnsi="Calibri"/>
                <w:sz w:val="18"/>
              </w:rPr>
              <w:t>+0.75</w:t>
            </w:r>
          </w:p>
        </w:tc>
        <w:tc>
          <w:tcPr>
            <w:tcW w:type="dxa" w:w="3456"/>
            <w:shd w:val="clear" w:color="auto" w:fill="F5F8FD"/>
          </w:tcPr>
          <w:p>
            <w:pPr>
              <w:spacing w:before="40" w:after="40"/>
            </w:pPr>
            <w:r>
              <w:rPr>
                <w:rFonts w:ascii="Calibri" w:hAnsi="Calibri"/>
                <w:sz w:val="18"/>
              </w:rPr>
              <w:t>VPN, proxy, or cross-border session</w:t>
            </w:r>
          </w:p>
        </w:tc>
      </w:tr>
      <w:tr>
        <w:tc>
          <w:tcPr>
            <w:tcW w:type="dxa" w:w="3168"/>
            <w:shd w:val="clear" w:color="auto" w:fill="FFFFFF"/>
          </w:tcPr>
          <w:p>
            <w:pPr>
              <w:spacing w:before="40" w:after="40"/>
            </w:pPr>
            <w:r>
              <w:rPr>
                <w:rFonts w:ascii="Calibri" w:hAnsi="Calibri"/>
                <w:b/>
                <w:color w:val="192638"/>
                <w:sz w:val="18"/>
              </w:rPr>
              <w:t>is_neobank_routing = 1</w:t>
            </w:r>
          </w:p>
        </w:tc>
        <w:tc>
          <w:tcPr>
            <w:tcW w:type="dxa" w:w="1296"/>
            <w:shd w:val="clear" w:color="auto" w:fill="FFFFFF"/>
          </w:tcPr>
          <w:p>
            <w:pPr>
              <w:spacing w:before="40" w:after="40"/>
            </w:pPr>
            <w:r>
              <w:rPr>
                <w:rFonts w:ascii="Calibri" w:hAnsi="Calibri"/>
                <w:sz w:val="18"/>
              </w:rPr>
              <w:t>+0.50</w:t>
            </w:r>
          </w:p>
        </w:tc>
        <w:tc>
          <w:tcPr>
            <w:tcW w:type="dxa" w:w="1296"/>
            <w:shd w:val="clear" w:color="auto" w:fill="FFFFFF"/>
          </w:tcPr>
          <w:p>
            <w:pPr>
              <w:spacing w:before="40" w:after="40"/>
            </w:pPr>
            <w:r>
              <w:rPr>
                <w:rFonts w:ascii="Calibri" w:hAnsi="Calibri"/>
                <w:sz w:val="18"/>
              </w:rPr>
              <w:t>+0.75</w:t>
            </w:r>
          </w:p>
        </w:tc>
        <w:tc>
          <w:tcPr>
            <w:tcW w:type="dxa" w:w="3456"/>
            <w:shd w:val="clear" w:color="auto" w:fill="FFFFFF"/>
          </w:tcPr>
          <w:p>
            <w:pPr>
              <w:spacing w:before="40" w:after="40"/>
            </w:pPr>
            <w:r>
              <w:rPr>
                <w:rFonts w:ascii="Calibri" w:hAnsi="Calibri"/>
                <w:sz w:val="18"/>
              </w:rPr>
              <w:t>Transfer to mule account at neobank</w:t>
            </w:r>
          </w:p>
        </w:tc>
      </w:tr>
      <w:tr>
        <w:tc>
          <w:tcPr>
            <w:tcW w:type="dxa" w:w="3168"/>
            <w:shd w:val="clear" w:color="auto" w:fill="F5F8FD"/>
          </w:tcPr>
          <w:p>
            <w:pPr>
              <w:spacing w:before="40" w:after="40"/>
            </w:pPr>
            <w:r>
              <w:rPr>
                <w:rFonts w:ascii="Calibri" w:hAnsi="Calibri"/>
                <w:b/>
                <w:color w:val="192638"/>
                <w:sz w:val="18"/>
              </w:rPr>
              <w:t>is_historical_payee = 0</w:t>
            </w:r>
          </w:p>
        </w:tc>
        <w:tc>
          <w:tcPr>
            <w:tcW w:type="dxa" w:w="1296"/>
            <w:shd w:val="clear" w:color="auto" w:fill="F5F8FD"/>
          </w:tcPr>
          <w:p>
            <w:pPr>
              <w:spacing w:before="40" w:after="40"/>
            </w:pPr>
            <w:r>
              <w:rPr>
                <w:rFonts w:ascii="Calibri" w:hAnsi="Calibri"/>
                <w:sz w:val="18"/>
              </w:rPr>
              <w:t>+0.50</w:t>
            </w:r>
          </w:p>
        </w:tc>
        <w:tc>
          <w:tcPr>
            <w:tcW w:type="dxa" w:w="1296"/>
            <w:shd w:val="clear" w:color="auto" w:fill="F5F8FD"/>
          </w:tcPr>
          <w:p>
            <w:pPr>
              <w:spacing w:before="40" w:after="40"/>
            </w:pPr>
            <w:r>
              <w:rPr>
                <w:rFonts w:ascii="Calibri" w:hAnsi="Calibri"/>
                <w:sz w:val="18"/>
              </w:rPr>
              <w:t>+0.75</w:t>
            </w:r>
          </w:p>
        </w:tc>
        <w:tc>
          <w:tcPr>
            <w:tcW w:type="dxa" w:w="3456"/>
            <w:shd w:val="clear" w:color="auto" w:fill="F5F8FD"/>
          </w:tcPr>
          <w:p>
            <w:pPr>
              <w:spacing w:before="40" w:after="40"/>
            </w:pPr>
            <w:r>
              <w:rPr>
                <w:rFonts w:ascii="Calibri" w:hAnsi="Calibri"/>
                <w:sz w:val="18"/>
              </w:rPr>
              <w:t>First-time payee — no trust established</w:t>
            </w:r>
          </w:p>
        </w:tc>
      </w:tr>
      <w:tr>
        <w:tc>
          <w:tcPr>
            <w:tcW w:type="dxa" w:w="3168"/>
            <w:shd w:val="clear" w:color="auto" w:fill="FFFFFF"/>
          </w:tcPr>
          <w:p>
            <w:pPr>
              <w:spacing w:before="40" w:after="40"/>
            </w:pPr>
            <w:r>
              <w:rPr>
                <w:rFonts w:ascii="Calibri" w:hAnsi="Calibri"/>
                <w:b/>
                <w:color w:val="192638"/>
                <w:sz w:val="18"/>
              </w:rPr>
              <w:t>used_fido_passkey = 0</w:t>
            </w:r>
          </w:p>
        </w:tc>
        <w:tc>
          <w:tcPr>
            <w:tcW w:type="dxa" w:w="1296"/>
            <w:shd w:val="clear" w:color="auto" w:fill="FFFFFF"/>
          </w:tcPr>
          <w:p>
            <w:pPr>
              <w:spacing w:before="40" w:after="40"/>
            </w:pPr>
            <w:r>
              <w:rPr>
                <w:rFonts w:ascii="Calibri" w:hAnsi="Calibri"/>
                <w:sz w:val="18"/>
              </w:rPr>
              <w:t>+0.30</w:t>
            </w:r>
          </w:p>
        </w:tc>
        <w:tc>
          <w:tcPr>
            <w:tcW w:type="dxa" w:w="1296"/>
            <w:shd w:val="clear" w:color="auto" w:fill="FFFFFF"/>
          </w:tcPr>
          <w:p>
            <w:pPr>
              <w:spacing w:before="40" w:after="40"/>
            </w:pPr>
            <w:r>
              <w:rPr>
                <w:rFonts w:ascii="Calibri" w:hAnsi="Calibri"/>
                <w:sz w:val="18"/>
              </w:rPr>
              <w:t>+0.45</w:t>
            </w:r>
          </w:p>
        </w:tc>
        <w:tc>
          <w:tcPr>
            <w:tcW w:type="dxa" w:w="3456"/>
            <w:shd w:val="clear" w:color="auto" w:fill="FFFFFF"/>
          </w:tcPr>
          <w:p>
            <w:pPr>
              <w:spacing w:before="40" w:after="40"/>
            </w:pPr>
            <w:r>
              <w:rPr>
                <w:rFonts w:ascii="Calibri" w:hAnsi="Calibri"/>
                <w:sz w:val="18"/>
              </w:rPr>
              <w:t>Weaker authentication used at login</w:t>
            </w:r>
          </w:p>
        </w:tc>
      </w:tr>
      <w:tr>
        <w:tc>
          <w:tcPr>
            <w:tcW w:type="dxa" w:w="3168"/>
            <w:shd w:val="clear" w:color="auto" w:fill="F5F8FD"/>
          </w:tcPr>
          <w:p>
            <w:pPr>
              <w:spacing w:before="40" w:after="40"/>
            </w:pPr>
            <w:r>
              <w:rPr>
                <w:rFonts w:ascii="Calibri" w:hAnsi="Calibri"/>
                <w:b/>
                <w:color w:val="192638"/>
                <w:sz w:val="18"/>
              </w:rPr>
              <w:t>is_known_location = 0</w:t>
            </w:r>
          </w:p>
        </w:tc>
        <w:tc>
          <w:tcPr>
            <w:tcW w:type="dxa" w:w="1296"/>
            <w:shd w:val="clear" w:color="auto" w:fill="F5F8FD"/>
          </w:tcPr>
          <w:p>
            <w:pPr>
              <w:spacing w:before="40" w:after="40"/>
            </w:pPr>
            <w:r>
              <w:rPr>
                <w:rFonts w:ascii="Calibri" w:hAnsi="Calibri"/>
                <w:sz w:val="18"/>
              </w:rPr>
              <w:t>+0.50</w:t>
            </w:r>
          </w:p>
        </w:tc>
        <w:tc>
          <w:tcPr>
            <w:tcW w:type="dxa" w:w="1296"/>
            <w:shd w:val="clear" w:color="auto" w:fill="F5F8FD"/>
          </w:tcPr>
          <w:p>
            <w:pPr>
              <w:spacing w:before="40" w:after="40"/>
            </w:pPr>
            <w:r>
              <w:rPr>
                <w:rFonts w:ascii="Calibri" w:hAnsi="Calibri"/>
                <w:sz w:val="18"/>
              </w:rPr>
              <w:t>+0.75</w:t>
            </w:r>
          </w:p>
        </w:tc>
        <w:tc>
          <w:tcPr>
            <w:tcW w:type="dxa" w:w="3456"/>
            <w:shd w:val="clear" w:color="auto" w:fill="F5F8FD"/>
          </w:tcPr>
          <w:p>
            <w:pPr>
              <w:spacing w:before="40" w:after="40"/>
            </w:pPr>
            <w:r>
              <w:rPr>
                <w:rFonts w:ascii="Calibri" w:hAnsi="Calibri"/>
                <w:sz w:val="18"/>
              </w:rPr>
              <w:t>Login from unrecognised location</w:t>
            </w:r>
          </w:p>
        </w:tc>
      </w:tr>
      <w:tr>
        <w:tc>
          <w:tcPr>
            <w:tcW w:type="dxa" w:w="3168"/>
            <w:shd w:val="clear" w:color="auto" w:fill="FFFFFF"/>
          </w:tcPr>
          <w:p>
            <w:pPr>
              <w:spacing w:before="40" w:after="40"/>
            </w:pPr>
            <w:r>
              <w:rPr>
                <w:rFonts w:ascii="Calibri" w:hAnsi="Calibri"/>
                <w:b/>
                <w:color w:val="192638"/>
                <w:sz w:val="18"/>
              </w:rPr>
              <w:t>mouse_linearity_score &gt; 0.5</w:t>
            </w:r>
          </w:p>
        </w:tc>
        <w:tc>
          <w:tcPr>
            <w:tcW w:type="dxa" w:w="1296"/>
            <w:shd w:val="clear" w:color="auto" w:fill="FFFFFF"/>
          </w:tcPr>
          <w:p>
            <w:pPr>
              <w:spacing w:before="40" w:after="40"/>
            </w:pPr>
            <w:r>
              <w:rPr>
                <w:rFonts w:ascii="Calibri" w:hAnsi="Calibri"/>
                <w:sz w:val="18"/>
              </w:rPr>
              <w:t>+0.40</w:t>
            </w:r>
          </w:p>
        </w:tc>
        <w:tc>
          <w:tcPr>
            <w:tcW w:type="dxa" w:w="1296"/>
            <w:shd w:val="clear" w:color="auto" w:fill="FFFFFF"/>
          </w:tcPr>
          <w:p>
            <w:pPr>
              <w:spacing w:before="40" w:after="40"/>
            </w:pPr>
            <w:r>
              <w:rPr>
                <w:rFonts w:ascii="Calibri" w:hAnsi="Calibri"/>
                <w:sz w:val="18"/>
              </w:rPr>
              <w:t>+0.60</w:t>
            </w:r>
          </w:p>
        </w:tc>
        <w:tc>
          <w:tcPr>
            <w:tcW w:type="dxa" w:w="3456"/>
            <w:shd w:val="clear" w:color="auto" w:fill="FFFFFF"/>
          </w:tcPr>
          <w:p>
            <w:pPr>
              <w:spacing w:before="40" w:after="40"/>
            </w:pPr>
            <w:r>
              <w:rPr>
                <w:rFonts w:ascii="Calibri" w:hAnsi="Calibri"/>
                <w:sz w:val="18"/>
              </w:rPr>
              <w:t>Robotic mouse movement pattern</w:t>
            </w:r>
          </w:p>
        </w:tc>
      </w:tr>
      <w:tr>
        <w:tc>
          <w:tcPr>
            <w:tcW w:type="dxa" w:w="3168"/>
            <w:shd w:val="clear" w:color="auto" w:fill="F5F8FD"/>
          </w:tcPr>
          <w:p>
            <w:pPr>
              <w:spacing w:before="40" w:after="40"/>
            </w:pPr>
            <w:r>
              <w:rPr>
                <w:rFonts w:ascii="Calibri" w:hAnsi="Calibri"/>
                <w:b/>
                <w:color w:val="192638"/>
                <w:sz w:val="18"/>
              </w:rPr>
              <w:t>typing_cadence_score &gt; 0.5</w:t>
            </w:r>
          </w:p>
        </w:tc>
        <w:tc>
          <w:tcPr>
            <w:tcW w:type="dxa" w:w="1296"/>
            <w:shd w:val="clear" w:color="auto" w:fill="F5F8FD"/>
          </w:tcPr>
          <w:p>
            <w:pPr>
              <w:spacing w:before="40" w:after="40"/>
            </w:pPr>
            <w:r>
              <w:rPr>
                <w:rFonts w:ascii="Calibri" w:hAnsi="Calibri"/>
                <w:sz w:val="18"/>
              </w:rPr>
              <w:t>+0.40</w:t>
            </w:r>
          </w:p>
        </w:tc>
        <w:tc>
          <w:tcPr>
            <w:tcW w:type="dxa" w:w="1296"/>
            <w:shd w:val="clear" w:color="auto" w:fill="F5F8FD"/>
          </w:tcPr>
          <w:p>
            <w:pPr>
              <w:spacing w:before="40" w:after="40"/>
            </w:pPr>
            <w:r>
              <w:rPr>
                <w:rFonts w:ascii="Calibri" w:hAnsi="Calibri"/>
                <w:sz w:val="18"/>
              </w:rPr>
              <w:t>+0.60</w:t>
            </w:r>
          </w:p>
        </w:tc>
        <w:tc>
          <w:tcPr>
            <w:tcW w:type="dxa" w:w="3456"/>
            <w:shd w:val="clear" w:color="auto" w:fill="F5F8FD"/>
          </w:tcPr>
          <w:p>
            <w:pPr>
              <w:spacing w:before="40" w:after="40"/>
            </w:pPr>
            <w:r>
              <w:rPr>
                <w:rFonts w:ascii="Calibri" w:hAnsi="Calibri"/>
                <w:sz w:val="18"/>
              </w:rPr>
              <w:t>Inhuman typing rhythm</w:t>
            </w:r>
          </w:p>
        </w:tc>
      </w:tr>
    </w:tbl>
    <w:p/>
    <w:p>
      <w:pPr>
        <w:pStyle w:val="Heading3"/>
        <w:spacing w:before="160" w:after="60"/>
      </w:pPr>
      <w:r>
        <w:t>4.1.3  Stage 3 — HIGH Tier Signals (Sum × 2.5)</w:t>
      </w:r>
    </w:p>
    <w:p>
      <w:pPr>
        <w:spacing w:before="0" w:after="100" w:line="260" w:lineRule="exact"/>
      </w:pPr>
      <w:r>
        <w:rPr>
          <w:rFonts w:ascii="Calibri" w:hAnsi="Calibri"/>
          <w:b w:val="0"/>
          <w:i w:val="0"/>
          <w:sz w:val="20"/>
        </w:rPr>
        <w:t>These signals individually indicate a serious fraud threat. Their contributions are summed and multiplied by 2.5:</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0D47A1"/>
          </w:tcPr>
          <w:p>
            <w:pPr>
              <w:spacing w:before="60" w:after="60"/>
            </w:pPr>
            <w:r>
              <w:rPr>
                <w:rFonts w:ascii="Calibri" w:hAnsi="Calibri"/>
                <w:b/>
                <w:color w:val="FFFFFF"/>
                <w:sz w:val="18"/>
              </w:rPr>
              <w:t>Signal Condition</w:t>
            </w:r>
          </w:p>
        </w:tc>
        <w:tc>
          <w:tcPr>
            <w:tcW w:type="dxa" w:w="1296"/>
            <w:shd w:val="clear" w:color="auto" w:fill="0D47A1"/>
          </w:tcPr>
          <w:p>
            <w:pPr>
              <w:spacing w:before="60" w:after="60"/>
            </w:pPr>
            <w:r>
              <w:rPr>
                <w:rFonts w:ascii="Calibri" w:hAnsi="Calibri"/>
                <w:b/>
                <w:color w:val="FFFFFF"/>
                <w:sz w:val="18"/>
              </w:rPr>
              <w:t>Raw Value</w:t>
            </w:r>
          </w:p>
        </w:tc>
        <w:tc>
          <w:tcPr>
            <w:tcW w:type="dxa" w:w="1296"/>
            <w:shd w:val="clear" w:color="auto" w:fill="0D47A1"/>
          </w:tcPr>
          <w:p>
            <w:pPr>
              <w:spacing w:before="60" w:after="60"/>
            </w:pPr>
            <w:r>
              <w:rPr>
                <w:rFonts w:ascii="Calibri" w:hAnsi="Calibri"/>
                <w:b/>
                <w:color w:val="FFFFFF"/>
                <w:sz w:val="18"/>
              </w:rPr>
              <w:t>After ×2.5</w:t>
            </w:r>
          </w:p>
        </w:tc>
        <w:tc>
          <w:tcPr>
            <w:tcW w:type="dxa" w:w="3456"/>
            <w:shd w:val="clear" w:color="auto" w:fill="0D47A1"/>
          </w:tcPr>
          <w:p>
            <w:pPr>
              <w:spacing w:before="60" w:after="60"/>
            </w:pPr>
            <w:r>
              <w:rPr>
                <w:rFonts w:ascii="Calibri" w:hAnsi="Calibri"/>
                <w:b/>
                <w:color w:val="FFFFFF"/>
                <w:sz w:val="18"/>
              </w:rPr>
              <w:t>Fraud Pattern</w:t>
            </w:r>
          </w:p>
        </w:tc>
      </w:tr>
      <w:tr>
        <w:tc>
          <w:tcPr>
            <w:tcW w:type="dxa" w:w="3168"/>
            <w:shd w:val="clear" w:color="auto" w:fill="F5F8FD"/>
          </w:tcPr>
          <w:p>
            <w:pPr>
              <w:spacing w:before="40" w:after="40"/>
            </w:pPr>
            <w:r>
              <w:rPr>
                <w:rFonts w:ascii="Calibri" w:hAnsi="Calibri"/>
                <w:b/>
                <w:color w:val="192638"/>
                <w:sz w:val="18"/>
              </w:rPr>
              <w:t>session_from_link = 1</w:t>
            </w:r>
          </w:p>
        </w:tc>
        <w:tc>
          <w:tcPr>
            <w:tcW w:type="dxa" w:w="1296"/>
            <w:shd w:val="clear" w:color="auto" w:fill="F5F8FD"/>
          </w:tcPr>
          <w:p>
            <w:pPr>
              <w:spacing w:before="40" w:after="40"/>
            </w:pPr>
            <w:r>
              <w:rPr>
                <w:rFonts w:ascii="Calibri" w:hAnsi="Calibri"/>
                <w:sz w:val="18"/>
              </w:rPr>
              <w:t>+0.80</w:t>
            </w:r>
          </w:p>
        </w:tc>
        <w:tc>
          <w:tcPr>
            <w:tcW w:type="dxa" w:w="1296"/>
            <w:shd w:val="clear" w:color="auto" w:fill="F5F8FD"/>
          </w:tcPr>
          <w:p>
            <w:pPr>
              <w:spacing w:before="40" w:after="40"/>
            </w:pPr>
            <w:r>
              <w:rPr>
                <w:rFonts w:ascii="Calibri" w:hAnsi="Calibri"/>
                <w:sz w:val="18"/>
              </w:rPr>
              <w:t>+2.00</w:t>
            </w:r>
          </w:p>
        </w:tc>
        <w:tc>
          <w:tcPr>
            <w:tcW w:type="dxa" w:w="3456"/>
            <w:shd w:val="clear" w:color="auto" w:fill="F5F8FD"/>
          </w:tcPr>
          <w:p>
            <w:pPr>
              <w:spacing w:before="40" w:after="40"/>
            </w:pPr>
            <w:r>
              <w:rPr>
                <w:rFonts w:ascii="Calibri" w:hAnsi="Calibri"/>
                <w:sz w:val="18"/>
              </w:rPr>
              <w:t>Phishing / smishing link entry point</w:t>
            </w:r>
          </w:p>
        </w:tc>
      </w:tr>
      <w:tr>
        <w:tc>
          <w:tcPr>
            <w:tcW w:type="dxa" w:w="3168"/>
            <w:shd w:val="clear" w:color="auto" w:fill="FFFFFF"/>
          </w:tcPr>
          <w:p>
            <w:pPr>
              <w:spacing w:before="40" w:after="40"/>
            </w:pPr>
            <w:r>
              <w:rPr>
                <w:rFonts w:ascii="Calibri" w:hAnsi="Calibri"/>
                <w:b/>
                <w:color w:val="192638"/>
                <w:sz w:val="18"/>
              </w:rPr>
              <w:t>bot_agility_index = 1</w:t>
            </w:r>
          </w:p>
        </w:tc>
        <w:tc>
          <w:tcPr>
            <w:tcW w:type="dxa" w:w="1296"/>
            <w:shd w:val="clear" w:color="auto" w:fill="FFFFFF"/>
          </w:tcPr>
          <w:p>
            <w:pPr>
              <w:spacing w:before="40" w:after="40"/>
            </w:pPr>
            <w:r>
              <w:rPr>
                <w:rFonts w:ascii="Calibri" w:hAnsi="Calibri"/>
                <w:sz w:val="18"/>
              </w:rPr>
              <w:t>+0.50</w:t>
            </w:r>
          </w:p>
        </w:tc>
        <w:tc>
          <w:tcPr>
            <w:tcW w:type="dxa" w:w="1296"/>
            <w:shd w:val="clear" w:color="auto" w:fill="FFFFFF"/>
          </w:tcPr>
          <w:p>
            <w:pPr>
              <w:spacing w:before="40" w:after="40"/>
            </w:pPr>
            <w:r>
              <w:rPr>
                <w:rFonts w:ascii="Calibri" w:hAnsi="Calibri"/>
                <w:sz w:val="18"/>
              </w:rPr>
              <w:t>+1.25</w:t>
            </w:r>
          </w:p>
        </w:tc>
        <w:tc>
          <w:tcPr>
            <w:tcW w:type="dxa" w:w="3456"/>
            <w:shd w:val="clear" w:color="auto" w:fill="FFFFFF"/>
          </w:tcPr>
          <w:p>
            <w:pPr>
              <w:spacing w:before="40" w:after="40"/>
            </w:pPr>
            <w:r>
              <w:rPr>
                <w:rFonts w:ascii="Calibri" w:hAnsi="Calibri"/>
                <w:sz w:val="18"/>
              </w:rPr>
              <w:t>Automated scripted session</w:t>
            </w:r>
          </w:p>
        </w:tc>
      </w:tr>
      <w:tr>
        <w:tc>
          <w:tcPr>
            <w:tcW w:type="dxa" w:w="3168"/>
            <w:shd w:val="clear" w:color="auto" w:fill="F5F8FD"/>
          </w:tcPr>
          <w:p>
            <w:pPr>
              <w:spacing w:before="40" w:after="40"/>
            </w:pPr>
            <w:r>
              <w:rPr>
                <w:rFonts w:ascii="Calibri" w:hAnsi="Calibri"/>
                <w:b/>
                <w:color w:val="192638"/>
                <w:sz w:val="18"/>
              </w:rPr>
              <w:t>is_screensharing_active = 1</w:t>
            </w:r>
          </w:p>
        </w:tc>
        <w:tc>
          <w:tcPr>
            <w:tcW w:type="dxa" w:w="1296"/>
            <w:shd w:val="clear" w:color="auto" w:fill="F5F8FD"/>
          </w:tcPr>
          <w:p>
            <w:pPr>
              <w:spacing w:before="40" w:after="40"/>
            </w:pPr>
            <w:r>
              <w:rPr>
                <w:rFonts w:ascii="Calibri" w:hAnsi="Calibri"/>
                <w:sz w:val="18"/>
              </w:rPr>
              <w:t>+0.40</w:t>
            </w:r>
          </w:p>
        </w:tc>
        <w:tc>
          <w:tcPr>
            <w:tcW w:type="dxa" w:w="1296"/>
            <w:shd w:val="clear" w:color="auto" w:fill="F5F8FD"/>
          </w:tcPr>
          <w:p>
            <w:pPr>
              <w:spacing w:before="40" w:after="40"/>
            </w:pPr>
            <w:r>
              <w:rPr>
                <w:rFonts w:ascii="Calibri" w:hAnsi="Calibri"/>
                <w:sz w:val="18"/>
              </w:rPr>
              <w:t>+1.00</w:t>
            </w:r>
          </w:p>
        </w:tc>
        <w:tc>
          <w:tcPr>
            <w:tcW w:type="dxa" w:w="3456"/>
            <w:shd w:val="clear" w:color="auto" w:fill="F5F8FD"/>
          </w:tcPr>
          <w:p>
            <w:pPr>
              <w:spacing w:before="40" w:after="40"/>
            </w:pPr>
            <w:r>
              <w:rPr>
                <w:rFonts w:ascii="Calibri" w:hAnsi="Calibri"/>
                <w:sz w:val="18"/>
              </w:rPr>
              <w:t>Attacker watching screen remotely</w:t>
            </w:r>
          </w:p>
        </w:tc>
      </w:tr>
      <w:tr>
        <w:tc>
          <w:tcPr>
            <w:tcW w:type="dxa" w:w="3168"/>
            <w:shd w:val="clear" w:color="auto" w:fill="FFFFFF"/>
          </w:tcPr>
          <w:p>
            <w:pPr>
              <w:spacing w:before="40" w:after="40"/>
            </w:pPr>
            <w:r>
              <w:rPr>
                <w:rFonts w:ascii="Calibri" w:hAnsi="Calibri"/>
                <w:b/>
                <w:color w:val="192638"/>
                <w:sz w:val="18"/>
              </w:rPr>
              <w:t>is_vm_or_emulator = 1</w:t>
            </w:r>
          </w:p>
        </w:tc>
        <w:tc>
          <w:tcPr>
            <w:tcW w:type="dxa" w:w="1296"/>
            <w:shd w:val="clear" w:color="auto" w:fill="FFFFFF"/>
          </w:tcPr>
          <w:p>
            <w:pPr>
              <w:spacing w:before="40" w:after="40"/>
            </w:pPr>
            <w:r>
              <w:rPr>
                <w:rFonts w:ascii="Calibri" w:hAnsi="Calibri"/>
                <w:sz w:val="18"/>
              </w:rPr>
              <w:t>+0.40</w:t>
            </w:r>
          </w:p>
        </w:tc>
        <w:tc>
          <w:tcPr>
            <w:tcW w:type="dxa" w:w="1296"/>
            <w:shd w:val="clear" w:color="auto" w:fill="FFFFFF"/>
          </w:tcPr>
          <w:p>
            <w:pPr>
              <w:spacing w:before="40" w:after="40"/>
            </w:pPr>
            <w:r>
              <w:rPr>
                <w:rFonts w:ascii="Calibri" w:hAnsi="Calibri"/>
                <w:sz w:val="18"/>
              </w:rPr>
              <w:t>+1.00</w:t>
            </w:r>
          </w:p>
        </w:tc>
        <w:tc>
          <w:tcPr>
            <w:tcW w:type="dxa" w:w="3456"/>
            <w:shd w:val="clear" w:color="auto" w:fill="FFFFFF"/>
          </w:tcPr>
          <w:p>
            <w:pPr>
              <w:spacing w:before="40" w:after="40"/>
            </w:pPr>
            <w:r>
              <w:rPr>
                <w:rFonts w:ascii="Calibri" w:hAnsi="Calibri"/>
                <w:sz w:val="18"/>
              </w:rPr>
              <w:t>Automated or emulated environment</w:t>
            </w:r>
          </w:p>
        </w:tc>
      </w:tr>
      <w:tr>
        <w:tc>
          <w:tcPr>
            <w:tcW w:type="dxa" w:w="3168"/>
            <w:shd w:val="clear" w:color="auto" w:fill="F5F8FD"/>
          </w:tcPr>
          <w:p>
            <w:pPr>
              <w:spacing w:before="40" w:after="40"/>
            </w:pPr>
            <w:r>
              <w:rPr>
                <w:rFonts w:ascii="Calibri" w:hAnsi="Calibri"/>
                <w:b/>
                <w:color w:val="192638"/>
                <w:sz w:val="18"/>
              </w:rPr>
              <w:t>remote_access_app_detected = 1</w:t>
            </w:r>
          </w:p>
        </w:tc>
        <w:tc>
          <w:tcPr>
            <w:tcW w:type="dxa" w:w="1296"/>
            <w:shd w:val="clear" w:color="auto" w:fill="F5F8FD"/>
          </w:tcPr>
          <w:p>
            <w:pPr>
              <w:spacing w:before="40" w:after="40"/>
            </w:pPr>
            <w:r>
              <w:rPr>
                <w:rFonts w:ascii="Calibri" w:hAnsi="Calibri"/>
                <w:sz w:val="18"/>
              </w:rPr>
              <w:t>+0.40</w:t>
            </w:r>
          </w:p>
        </w:tc>
        <w:tc>
          <w:tcPr>
            <w:tcW w:type="dxa" w:w="1296"/>
            <w:shd w:val="clear" w:color="auto" w:fill="F5F8FD"/>
          </w:tcPr>
          <w:p>
            <w:pPr>
              <w:spacing w:before="40" w:after="40"/>
            </w:pPr>
            <w:r>
              <w:rPr>
                <w:rFonts w:ascii="Calibri" w:hAnsi="Calibri"/>
                <w:sz w:val="18"/>
              </w:rPr>
              <w:t>+1.00</w:t>
            </w:r>
          </w:p>
        </w:tc>
        <w:tc>
          <w:tcPr>
            <w:tcW w:type="dxa" w:w="3456"/>
            <w:shd w:val="clear" w:color="auto" w:fill="F5F8FD"/>
          </w:tcPr>
          <w:p>
            <w:pPr>
              <w:spacing w:before="40" w:after="40"/>
            </w:pPr>
            <w:r>
              <w:rPr>
                <w:rFonts w:ascii="Calibri" w:hAnsi="Calibri"/>
                <w:sz w:val="18"/>
              </w:rPr>
              <w:t>Full remote desktop control active</w:t>
            </w:r>
          </w:p>
        </w:tc>
      </w:tr>
      <w:tr>
        <w:tc>
          <w:tcPr>
            <w:tcW w:type="dxa" w:w="3168"/>
            <w:shd w:val="clear" w:color="auto" w:fill="FFFFFF"/>
          </w:tcPr>
          <w:p>
            <w:pPr>
              <w:spacing w:before="40" w:after="40"/>
            </w:pPr>
            <w:r>
              <w:rPr>
                <w:rFonts w:ascii="Calibri" w:hAnsi="Calibri"/>
                <w:b/>
                <w:color w:val="192638"/>
                <w:sz w:val="18"/>
              </w:rPr>
              <w:t>is_in_active_call = 1</w:t>
            </w:r>
          </w:p>
        </w:tc>
        <w:tc>
          <w:tcPr>
            <w:tcW w:type="dxa" w:w="1296"/>
            <w:shd w:val="clear" w:color="auto" w:fill="FFFFFF"/>
          </w:tcPr>
          <w:p>
            <w:pPr>
              <w:spacing w:before="40" w:after="40"/>
            </w:pPr>
            <w:r>
              <w:rPr>
                <w:rFonts w:ascii="Calibri" w:hAnsi="Calibri"/>
                <w:sz w:val="18"/>
              </w:rPr>
              <w:t>+0.30</w:t>
            </w:r>
          </w:p>
        </w:tc>
        <w:tc>
          <w:tcPr>
            <w:tcW w:type="dxa" w:w="1296"/>
            <w:shd w:val="clear" w:color="auto" w:fill="FFFFFF"/>
          </w:tcPr>
          <w:p>
            <w:pPr>
              <w:spacing w:before="40" w:after="40"/>
            </w:pPr>
            <w:r>
              <w:rPr>
                <w:rFonts w:ascii="Calibri" w:hAnsi="Calibri"/>
                <w:sz w:val="18"/>
              </w:rPr>
              <w:t>+0.75</w:t>
            </w:r>
          </w:p>
        </w:tc>
        <w:tc>
          <w:tcPr>
            <w:tcW w:type="dxa" w:w="3456"/>
            <w:shd w:val="clear" w:color="auto" w:fill="FFFFFF"/>
          </w:tcPr>
          <w:p>
            <w:pPr>
              <w:spacing w:before="40" w:after="40"/>
            </w:pPr>
            <w:r>
              <w:rPr>
                <w:rFonts w:ascii="Calibri" w:hAnsi="Calibri"/>
                <w:sz w:val="18"/>
              </w:rPr>
              <w:t>Scammer coaching victim on phone</w:t>
            </w:r>
          </w:p>
        </w:tc>
      </w:tr>
      <w:tr>
        <w:tc>
          <w:tcPr>
            <w:tcW w:type="dxa" w:w="3168"/>
            <w:shd w:val="clear" w:color="auto" w:fill="F5F8FD"/>
          </w:tcPr>
          <w:p>
            <w:pPr>
              <w:spacing w:before="40" w:after="40"/>
            </w:pPr>
            <w:r>
              <w:rPr>
                <w:rFonts w:ascii="Calibri" w:hAnsi="Calibri"/>
                <w:b/>
                <w:color w:val="192638"/>
                <w:sz w:val="18"/>
              </w:rPr>
              <w:t>coached_fraud_index = 1</w:t>
            </w:r>
          </w:p>
        </w:tc>
        <w:tc>
          <w:tcPr>
            <w:tcW w:type="dxa" w:w="1296"/>
            <w:shd w:val="clear" w:color="auto" w:fill="F5F8FD"/>
          </w:tcPr>
          <w:p>
            <w:pPr>
              <w:spacing w:before="40" w:after="40"/>
            </w:pPr>
            <w:r>
              <w:rPr>
                <w:rFonts w:ascii="Calibri" w:hAnsi="Calibri"/>
                <w:sz w:val="18"/>
              </w:rPr>
              <w:t>+0.30</w:t>
            </w:r>
          </w:p>
        </w:tc>
        <w:tc>
          <w:tcPr>
            <w:tcW w:type="dxa" w:w="1296"/>
            <w:shd w:val="clear" w:color="auto" w:fill="F5F8FD"/>
          </w:tcPr>
          <w:p>
            <w:pPr>
              <w:spacing w:before="40" w:after="40"/>
            </w:pPr>
            <w:r>
              <w:rPr>
                <w:rFonts w:ascii="Calibri" w:hAnsi="Calibri"/>
                <w:sz w:val="18"/>
              </w:rPr>
              <w:t>+0.75</w:t>
            </w:r>
          </w:p>
        </w:tc>
        <w:tc>
          <w:tcPr>
            <w:tcW w:type="dxa" w:w="3456"/>
            <w:shd w:val="clear" w:color="auto" w:fill="F5F8FD"/>
          </w:tcPr>
          <w:p>
            <w:pPr>
              <w:spacing w:before="40" w:after="40"/>
            </w:pPr>
            <w:r>
              <w:rPr>
                <w:rFonts w:ascii="Calibri" w:hAnsi="Calibri"/>
                <w:sz w:val="18"/>
              </w:rPr>
              <w:t>Behavioural hesitation / coaching patterns</w:t>
            </w:r>
          </w:p>
        </w:tc>
      </w:tr>
    </w:tbl>
    <w:p/>
    <w:p>
      <w:pPr>
        <w:pStyle w:val="Heading2"/>
        <w:spacing w:before="240" w:after="80"/>
      </w:pPr>
      <w:r>
        <w:t>4.2  Scenario Calibration (Verified Live)</w:t>
      </w:r>
    </w:p>
    <w:p>
      <w:pPr>
        <w:spacing w:before="0" w:after="100" w:line="260" w:lineRule="exact"/>
      </w:pPr>
      <w:r>
        <w:rPr>
          <w:rFonts w:ascii="Calibri" w:hAnsi="Calibri"/>
          <w:b w:val="0"/>
          <w:i w:val="0"/>
          <w:sz w:val="20"/>
        </w:rPr>
        <w:t>The three demo scenarios were calibrated to produce scores that reliably trigger each tier. All scores below were verified by running calculate_risk_score() live against the production codebase: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872"/>
            <w:shd w:val="clear" w:color="auto" w:fill="0D47A1"/>
          </w:tcPr>
          <w:p>
            <w:pPr>
              <w:spacing w:before="60" w:after="60"/>
            </w:pPr>
            <w:r>
              <w:rPr>
                <w:rFonts w:ascii="Calibri" w:hAnsi="Calibri"/>
                <w:b/>
                <w:color w:val="FFFFFF"/>
                <w:sz w:val="18"/>
              </w:rPr>
              <w:t>Scenario</w:t>
            </w:r>
          </w:p>
        </w:tc>
        <w:tc>
          <w:tcPr>
            <w:tcW w:type="dxa" w:w="3744"/>
            <w:shd w:val="clear" w:color="auto" w:fill="0D47A1"/>
          </w:tcPr>
          <w:p>
            <w:pPr>
              <w:spacing w:before="60" w:after="60"/>
            </w:pPr>
            <w:r>
              <w:rPr>
                <w:rFonts w:ascii="Calibri" w:hAnsi="Calibri"/>
                <w:b/>
                <w:color w:val="FFFFFF"/>
                <w:sz w:val="18"/>
              </w:rPr>
              <w:t>Key Signals Active</w:t>
            </w:r>
          </w:p>
        </w:tc>
        <w:tc>
          <w:tcPr>
            <w:tcW w:type="dxa" w:w="1440"/>
            <w:shd w:val="clear" w:color="auto" w:fill="0D47A1"/>
          </w:tcPr>
          <w:p>
            <w:pPr>
              <w:spacing w:before="60" w:after="60"/>
            </w:pPr>
            <w:r>
              <w:rPr>
                <w:rFonts w:ascii="Calibri" w:hAnsi="Calibri"/>
                <w:b/>
                <w:color w:val="FFFFFF"/>
                <w:sz w:val="18"/>
              </w:rPr>
              <w:t>Amount</w:t>
            </w:r>
          </w:p>
        </w:tc>
        <w:tc>
          <w:tcPr>
            <w:tcW w:type="dxa" w:w="864"/>
            <w:shd w:val="clear" w:color="auto" w:fill="0D47A1"/>
          </w:tcPr>
          <w:p>
            <w:pPr>
              <w:spacing w:before="60" w:after="60"/>
            </w:pPr>
            <w:r>
              <w:rPr>
                <w:rFonts w:ascii="Calibri" w:hAnsi="Calibri"/>
                <w:b/>
                <w:color w:val="FFFFFF"/>
                <w:sz w:val="18"/>
              </w:rPr>
              <w:t>Score</w:t>
            </w:r>
          </w:p>
        </w:tc>
        <w:tc>
          <w:tcPr>
            <w:tcW w:type="dxa" w:w="1008"/>
            <w:shd w:val="clear" w:color="auto" w:fill="0D47A1"/>
          </w:tcPr>
          <w:p>
            <w:pPr>
              <w:spacing w:before="60" w:after="60"/>
            </w:pPr>
            <w:r>
              <w:rPr>
                <w:rFonts w:ascii="Calibri" w:hAnsi="Calibri"/>
                <w:b/>
                <w:color w:val="FFFFFF"/>
                <w:sz w:val="18"/>
              </w:rPr>
              <w:t>Tier</w:t>
            </w:r>
          </w:p>
        </w:tc>
        <w:tc>
          <w:tcPr>
            <w:tcW w:type="dxa" w:w="3168"/>
            <w:shd w:val="clear" w:color="auto" w:fill="0D47A1"/>
          </w:tcPr>
          <w:p>
            <w:pPr>
              <w:spacing w:before="60" w:after="60"/>
            </w:pPr>
            <w:r>
              <w:rPr>
                <w:rFonts w:ascii="Calibri" w:hAnsi="Calibri"/>
                <w:b/>
                <w:color w:val="FFFFFF"/>
                <w:sz w:val="18"/>
              </w:rPr>
              <w:t>Response</w:t>
            </w:r>
          </w:p>
        </w:tc>
      </w:tr>
      <w:tr>
        <w:tc>
          <w:tcPr>
            <w:tcW w:type="dxa" w:w="1872"/>
            <w:shd w:val="clear" w:color="auto" w:fill="F5F8FD"/>
          </w:tcPr>
          <w:p>
            <w:pPr>
              <w:spacing w:before="40" w:after="40"/>
            </w:pPr>
            <w:r>
              <w:rPr>
                <w:rFonts w:ascii="Calibri" w:hAnsi="Calibri"/>
                <w:b/>
                <w:color w:val="192638"/>
                <w:sz w:val="18"/>
              </w:rPr>
              <w:t>S1 — LOW</w:t>
            </w:r>
          </w:p>
        </w:tc>
        <w:tc>
          <w:tcPr>
            <w:tcW w:type="dxa" w:w="3744"/>
            <w:shd w:val="clear" w:color="auto" w:fill="F5F8FD"/>
          </w:tcPr>
          <w:p>
            <w:pPr>
              <w:spacing w:before="40" w:after="40"/>
            </w:pPr>
            <w:r>
              <w:rPr>
                <w:rFonts w:ascii="Calibri" w:hAnsi="Calibri"/>
                <w:sz w:val="18"/>
              </w:rPr>
              <w:t>All safe defaults, residential IP, FIDO used, historical payee</w:t>
            </w:r>
          </w:p>
        </w:tc>
        <w:tc>
          <w:tcPr>
            <w:tcW w:type="dxa" w:w="1440"/>
            <w:shd w:val="clear" w:color="auto" w:fill="F5F8FD"/>
          </w:tcPr>
          <w:p>
            <w:pPr>
              <w:spacing w:before="40" w:after="40"/>
            </w:pPr>
            <w:r>
              <w:rPr>
                <w:rFonts w:ascii="Calibri" w:hAnsi="Calibri"/>
                <w:sz w:val="18"/>
              </w:rPr>
              <w:t>5,000 ALL</w:t>
            </w:r>
          </w:p>
        </w:tc>
        <w:tc>
          <w:tcPr>
            <w:tcW w:type="dxa" w:w="864"/>
            <w:shd w:val="clear" w:color="auto" w:fill="F5F8FD"/>
          </w:tcPr>
          <w:p>
            <w:pPr>
              <w:spacing w:before="40" w:after="40"/>
            </w:pPr>
            <w:r>
              <w:rPr>
                <w:rFonts w:ascii="Calibri" w:hAnsi="Calibri"/>
                <w:sz w:val="18"/>
              </w:rPr>
              <w:t>1.0</w:t>
            </w:r>
          </w:p>
        </w:tc>
        <w:tc>
          <w:tcPr>
            <w:tcW w:type="dxa" w:w="1008"/>
            <w:shd w:val="clear" w:color="auto" w:fill="F5F8FD"/>
          </w:tcPr>
          <w:p>
            <w:pPr>
              <w:spacing w:before="40" w:after="40"/>
            </w:pPr>
            <w:r>
              <w:rPr>
                <w:rFonts w:ascii="Calibri" w:hAnsi="Calibri"/>
                <w:sz w:val="18"/>
              </w:rPr>
              <w:t>LOW</w:t>
            </w:r>
          </w:p>
        </w:tc>
        <w:tc>
          <w:tcPr>
            <w:tcW w:type="dxa" w:w="3168"/>
            <w:shd w:val="clear" w:color="auto" w:fill="F5F8FD"/>
          </w:tcPr>
          <w:p>
            <w:pPr>
              <w:spacing w:before="40" w:after="40"/>
            </w:pPr>
            <w:r>
              <w:rPr>
                <w:rFonts w:ascii="Calibri" w:hAnsi="Calibri"/>
                <w:sz w:val="18"/>
              </w:rPr>
              <w:t>Instant completion + confetti</w:t>
            </w:r>
          </w:p>
        </w:tc>
      </w:tr>
      <w:tr>
        <w:tc>
          <w:tcPr>
            <w:tcW w:type="dxa" w:w="1872"/>
            <w:shd w:val="clear" w:color="auto" w:fill="FFFFFF"/>
          </w:tcPr>
          <w:p>
            <w:pPr>
              <w:spacing w:before="40" w:after="40"/>
            </w:pPr>
            <w:r>
              <w:rPr>
                <w:rFonts w:ascii="Calibri" w:hAnsi="Calibri"/>
                <w:b/>
                <w:color w:val="192638"/>
                <w:sz w:val="18"/>
              </w:rPr>
              <w:t>S2 — MEDIUM</w:t>
            </w:r>
          </w:p>
        </w:tc>
        <w:tc>
          <w:tcPr>
            <w:tcW w:type="dxa" w:w="3744"/>
            <w:shd w:val="clear" w:color="auto" w:fill="FFFFFF"/>
          </w:tcPr>
          <w:p>
            <w:pPr>
              <w:spacing w:before="40" w:after="40"/>
            </w:pPr>
            <w:r>
              <w:rPr>
                <w:rFonts w:ascii="Calibri" w:hAnsi="Calibri"/>
                <w:sz w:val="18"/>
              </w:rPr>
              <w:t>Timezone mismatch, neobank routing, unknown payee, no FIDO, mouse 0.65</w:t>
            </w:r>
          </w:p>
        </w:tc>
        <w:tc>
          <w:tcPr>
            <w:tcW w:type="dxa" w:w="1440"/>
            <w:shd w:val="clear" w:color="auto" w:fill="FFFFFF"/>
          </w:tcPr>
          <w:p>
            <w:pPr>
              <w:spacing w:before="40" w:after="40"/>
            </w:pPr>
            <w:r>
              <w:rPr>
                <w:rFonts w:ascii="Calibri" w:hAnsi="Calibri"/>
                <w:sz w:val="18"/>
              </w:rPr>
              <w:t>85,000 ALL</w:t>
            </w:r>
          </w:p>
        </w:tc>
        <w:tc>
          <w:tcPr>
            <w:tcW w:type="dxa" w:w="864"/>
            <w:shd w:val="clear" w:color="auto" w:fill="FFFFFF"/>
          </w:tcPr>
          <w:p>
            <w:pPr>
              <w:spacing w:before="40" w:after="40"/>
            </w:pPr>
            <w:r>
              <w:rPr>
                <w:rFonts w:ascii="Calibri" w:hAnsi="Calibri"/>
                <w:sz w:val="18"/>
              </w:rPr>
              <w:t>4.3</w:t>
            </w:r>
          </w:p>
        </w:tc>
        <w:tc>
          <w:tcPr>
            <w:tcW w:type="dxa" w:w="1008"/>
            <w:shd w:val="clear" w:color="auto" w:fill="FFFFFF"/>
          </w:tcPr>
          <w:p>
            <w:pPr>
              <w:spacing w:before="40" w:after="40"/>
            </w:pPr>
            <w:r>
              <w:rPr>
                <w:rFonts w:ascii="Calibri" w:hAnsi="Calibri"/>
                <w:sz w:val="18"/>
              </w:rPr>
              <w:t>MEDIUM</w:t>
            </w:r>
          </w:p>
        </w:tc>
        <w:tc>
          <w:tcPr>
            <w:tcW w:type="dxa" w:w="3168"/>
            <w:shd w:val="clear" w:color="auto" w:fill="FFFFFF"/>
          </w:tcPr>
          <w:p>
            <w:pPr>
              <w:spacing w:before="40" w:after="40"/>
            </w:pPr>
            <w:r>
              <w:rPr>
                <w:rFonts w:ascii="Calibri" w:hAnsi="Calibri"/>
                <w:sz w:val="18"/>
              </w:rPr>
              <w:t>4-tab biometric verification modal</w:t>
            </w:r>
          </w:p>
        </w:tc>
      </w:tr>
      <w:tr>
        <w:tc>
          <w:tcPr>
            <w:tcW w:type="dxa" w:w="1872"/>
            <w:shd w:val="clear" w:color="auto" w:fill="F5F8FD"/>
          </w:tcPr>
          <w:p>
            <w:pPr>
              <w:spacing w:before="40" w:after="40"/>
            </w:pPr>
            <w:r>
              <w:rPr>
                <w:rFonts w:ascii="Calibri" w:hAnsi="Calibri"/>
                <w:b/>
                <w:color w:val="192638"/>
                <w:sz w:val="18"/>
              </w:rPr>
              <w:t>S3 — HIGH</w:t>
            </w:r>
          </w:p>
        </w:tc>
        <w:tc>
          <w:tcPr>
            <w:tcW w:type="dxa" w:w="3744"/>
            <w:shd w:val="clear" w:color="auto" w:fill="F5F8FD"/>
          </w:tcPr>
          <w:p>
            <w:pPr>
              <w:spacing w:before="40" w:after="40"/>
            </w:pPr>
            <w:r>
              <w:rPr>
                <w:rFonts w:ascii="Calibri" w:hAnsi="Calibri"/>
                <w:sz w:val="18"/>
              </w:rPr>
              <w:t>Session from link, bot agility, screen sharing, timezone mismatch, mouse/typing 0.9</w:t>
            </w:r>
          </w:p>
        </w:tc>
        <w:tc>
          <w:tcPr>
            <w:tcW w:type="dxa" w:w="1440"/>
            <w:shd w:val="clear" w:color="auto" w:fill="F5F8FD"/>
          </w:tcPr>
          <w:p>
            <w:pPr>
              <w:spacing w:before="40" w:after="40"/>
            </w:pPr>
            <w:r>
              <w:rPr>
                <w:rFonts w:ascii="Calibri" w:hAnsi="Calibri"/>
                <w:sz w:val="18"/>
              </w:rPr>
              <w:t>10,000 ALL</w:t>
            </w:r>
          </w:p>
        </w:tc>
        <w:tc>
          <w:tcPr>
            <w:tcW w:type="dxa" w:w="864"/>
            <w:shd w:val="clear" w:color="auto" w:fill="F5F8FD"/>
          </w:tcPr>
          <w:p>
            <w:pPr>
              <w:spacing w:before="40" w:after="40"/>
            </w:pPr>
            <w:r>
              <w:rPr>
                <w:rFonts w:ascii="Calibri" w:hAnsi="Calibri"/>
                <w:sz w:val="18"/>
              </w:rPr>
              <w:t>7.2</w:t>
            </w:r>
          </w:p>
        </w:tc>
        <w:tc>
          <w:tcPr>
            <w:tcW w:type="dxa" w:w="1008"/>
            <w:shd w:val="clear" w:color="auto" w:fill="F5F8FD"/>
          </w:tcPr>
          <w:p>
            <w:pPr>
              <w:spacing w:before="40" w:after="40"/>
            </w:pPr>
            <w:r>
              <w:rPr>
                <w:rFonts w:ascii="Calibri" w:hAnsi="Calibri"/>
                <w:sz w:val="18"/>
              </w:rPr>
              <w:t>HIGH</w:t>
            </w:r>
          </w:p>
        </w:tc>
        <w:tc>
          <w:tcPr>
            <w:tcW w:type="dxa" w:w="3168"/>
            <w:shd w:val="clear" w:color="auto" w:fill="F5F8FD"/>
          </w:tcPr>
          <w:p>
            <w:pPr>
              <w:spacing w:before="40" w:after="40"/>
            </w:pPr>
            <w:r>
              <w:rPr>
                <w:rFonts w:ascii="Calibri" w:hAnsi="Calibri"/>
                <w:sz w:val="18"/>
              </w:rPr>
              <w:t>Full-screen FIDO lockdown overlay</w:t>
            </w:r>
          </w:p>
        </w:tc>
      </w:tr>
      <w:tr>
        <w:tc>
          <w:tcPr>
            <w:tcW w:type="dxa" w:w="1872"/>
            <w:shd w:val="clear" w:color="auto" w:fill="FFFFFF"/>
          </w:tcPr>
          <w:p>
            <w:pPr>
              <w:spacing w:before="40" w:after="40"/>
            </w:pPr>
            <w:r>
              <w:rPr>
                <w:rFonts w:ascii="Calibri" w:hAnsi="Calibri"/>
                <w:b/>
                <w:color w:val="192638"/>
                <w:sz w:val="18"/>
              </w:rPr>
              <w:t>Amount floor test</w:t>
            </w:r>
          </w:p>
        </w:tc>
        <w:tc>
          <w:tcPr>
            <w:tcW w:type="dxa" w:w="3744"/>
            <w:shd w:val="clear" w:color="auto" w:fill="FFFFFF"/>
          </w:tcPr>
          <w:p>
            <w:pPr>
              <w:spacing w:before="40" w:after="40"/>
            </w:pPr>
            <w:r>
              <w:rPr>
                <w:rFonts w:ascii="Calibri" w:hAnsi="Calibri"/>
                <w:sz w:val="18"/>
              </w:rPr>
              <w:t>All safe defaults</w:t>
            </w:r>
          </w:p>
        </w:tc>
        <w:tc>
          <w:tcPr>
            <w:tcW w:type="dxa" w:w="1440"/>
            <w:shd w:val="clear" w:color="auto" w:fill="FFFFFF"/>
          </w:tcPr>
          <w:p>
            <w:pPr>
              <w:spacing w:before="40" w:after="40"/>
            </w:pPr>
            <w:r>
              <w:rPr>
                <w:rFonts w:ascii="Calibri" w:hAnsi="Calibri"/>
                <w:sz w:val="18"/>
              </w:rPr>
              <w:t>100,000 ALL</w:t>
            </w:r>
          </w:p>
        </w:tc>
        <w:tc>
          <w:tcPr>
            <w:tcW w:type="dxa" w:w="864"/>
            <w:shd w:val="clear" w:color="auto" w:fill="FFFFFF"/>
          </w:tcPr>
          <w:p>
            <w:pPr>
              <w:spacing w:before="40" w:after="40"/>
            </w:pPr>
            <w:r>
              <w:rPr>
                <w:rFonts w:ascii="Calibri" w:hAnsi="Calibri"/>
                <w:sz w:val="18"/>
              </w:rPr>
              <w:t>4.0</w:t>
            </w:r>
          </w:p>
        </w:tc>
        <w:tc>
          <w:tcPr>
            <w:tcW w:type="dxa" w:w="1008"/>
            <w:shd w:val="clear" w:color="auto" w:fill="FFFFFF"/>
          </w:tcPr>
          <w:p>
            <w:pPr>
              <w:spacing w:before="40" w:after="40"/>
            </w:pPr>
            <w:r>
              <w:rPr>
                <w:rFonts w:ascii="Calibri" w:hAnsi="Calibri"/>
                <w:sz w:val="18"/>
              </w:rPr>
              <w:t>MEDIUM</w:t>
            </w:r>
          </w:p>
        </w:tc>
        <w:tc>
          <w:tcPr>
            <w:tcW w:type="dxa" w:w="3168"/>
            <w:shd w:val="clear" w:color="auto" w:fill="FFFFFF"/>
          </w:tcPr>
          <w:p>
            <w:pPr>
              <w:spacing w:before="40" w:after="40"/>
            </w:pPr>
            <w:r>
              <w:rPr>
                <w:rFonts w:ascii="Calibri" w:hAnsi="Calibri"/>
                <w:sz w:val="18"/>
              </w:rPr>
              <w:t>Hard floor enforced: max(2.3, 3.5) × 1.15</w:t>
            </w:r>
          </w:p>
        </w:tc>
      </w:tr>
    </w:tbl>
    <w:p/>
    <w:p>
      <w:pPr>
        <w:pStyle w:val="Heading2"/>
        <w:spacing w:before="240" w:after="80"/>
      </w:pPr>
      <w:r>
        <w:t>4.3  Threshold Rationale</w:t>
      </w:r>
    </w:p>
    <w:p>
      <w:pPr>
        <w:pStyle w:val="ListBullet"/>
        <w:spacing w:after="60" w:before="0"/>
        <w:ind w:left="432"/>
      </w:pPr>
      <w:r>
        <w:rPr>
          <w:rFonts w:ascii="Calibri" w:hAnsi="Calibri"/>
          <w:b/>
          <w:i w:val="0"/>
          <w:sz w:val="20"/>
        </w:rPr>
        <w:t xml:space="preserve">HIGH — Score ≥ 7.0:  </w:t>
      </w:r>
      <w:r>
        <w:rPr>
          <w:rFonts w:ascii="Calibri" w:hAnsi="Calibri"/>
          <w:b w:val="0"/>
          <w:i w:val="0"/>
          <w:sz w:val="20"/>
        </w:rPr>
        <w:t>HIGH (≥ 7.0): Reserved for sessions where multiple critical signals co-occur simultaneously. A false negative here represents catastrophic financial loss. The threshold is set deliberately high to minimise false positives on genuine high-value transfers.</w:t>
      </w:r>
    </w:p>
    <w:p>
      <w:pPr>
        <w:pStyle w:val="ListBullet"/>
        <w:spacing w:after="60" w:before="0"/>
        <w:ind w:left="432"/>
      </w:pPr>
      <w:r>
        <w:rPr>
          <w:rFonts w:ascii="Calibri" w:hAnsi="Calibri"/>
          <w:b/>
          <w:i w:val="0"/>
          <w:sz w:val="20"/>
        </w:rPr>
        <w:t xml:space="preserve">MEDIUM — Score 3.0–7.0:  </w:t>
      </w:r>
      <w:r>
        <w:rPr>
          <w:rFonts w:ascii="Calibri" w:hAnsi="Calibri"/>
          <w:b w:val="0"/>
          <w:i w:val="0"/>
          <w:sz w:val="20"/>
        </w:rPr>
        <w:t>MEDIUM (3.0 – 6.99): Suspicious patterns present but not definitive. Proportionate friction: biometric user-presence verification adds &lt;5 seconds for genuine customers, blocks virtually all coached transfers.</w:t>
      </w:r>
    </w:p>
    <w:p>
      <w:pPr>
        <w:pStyle w:val="ListBullet"/>
        <w:spacing w:after="60" w:before="0"/>
        <w:ind w:left="432"/>
      </w:pPr>
      <w:r>
        <w:rPr>
          <w:rFonts w:ascii="Calibri" w:hAnsi="Calibri"/>
          <w:b/>
          <w:i w:val="0"/>
          <w:sz w:val="20"/>
        </w:rPr>
        <w:t xml:space="preserve">LOW — Score &lt; 3.0:  </w:t>
      </w:r>
      <w:r>
        <w:rPr>
          <w:rFonts w:ascii="Calibri" w:hAnsi="Calibri"/>
          <w:b w:val="0"/>
          <w:i w:val="0"/>
          <w:sz w:val="20"/>
        </w:rPr>
        <w:t>LOW (&lt; 3.0): All signals within normal parameters. Zero friction. Genuine customers transact without interruption.</w:t>
      </w:r>
    </w:p>
    <w:p>
      <w:r>
        <w:br w:type="page"/>
      </w:r>
    </w:p>
    <w:p>
      <w:pPr>
        <w:pStyle w:val="Heading1"/>
        <w:spacing w:before="360" w:after="120"/>
      </w:pPr>
      <w:r>
        <w:t>5.  The Three-Tier Authentication System</w:t>
      </w:r>
    </w:p>
    <w:p>
      <w:pPr>
        <w:pStyle w:val="Heading2"/>
        <w:spacing w:before="240" w:after="80"/>
      </w:pPr>
      <w:r>
        <w:t>5.1  LOW RISK — Passive Trust</w:t>
      </w:r>
    </w:p>
    <w:p>
      <w:pPr>
        <w:spacing w:before="0" w:after="100" w:line="260" w:lineRule="exact"/>
      </w:pPr>
      <w:r>
        <w:rPr>
          <w:rFonts w:ascii="Calibri" w:hAnsi="Calibri"/>
          <w:b w:val="0"/>
          <w:i w:val="0"/>
          <w:sz w:val="20"/>
        </w:rPr>
        <w:t>When the risk score is below 3.0, the transfer proceeds with no additional authentication. The 1.5-second analysis period (during which the spinner is displayed) allows the scoring API to complete and applies a brief psychological confirmation pause — the customer sees the system is actively analysing. On completion:</w:t>
      </w:r>
    </w:p>
    <w:p>
      <w:pPr>
        <w:pStyle w:val="ListBullet"/>
        <w:spacing w:after="60" w:before="0"/>
        <w:ind w:left="432"/>
      </w:pPr>
      <w:r>
        <w:rPr>
          <w:rFonts w:ascii="Calibri" w:hAnsi="Calibri"/>
          <w:b w:val="0"/>
          <w:i w:val="0"/>
          <w:sz w:val="20"/>
        </w:rPr>
        <w:t>Canvas-confetti animation fires (green palette)</w:t>
      </w:r>
    </w:p>
    <w:p>
      <w:pPr>
        <w:pStyle w:val="ListBullet"/>
        <w:spacing w:after="60" w:before="0"/>
        <w:ind w:left="432"/>
      </w:pPr>
      <w:r>
        <w:rPr>
          <w:rFonts w:ascii="Calibri" w:hAnsi="Calibri"/>
          <w:b w:val="0"/>
          <w:i w:val="0"/>
          <w:sz w:val="20"/>
        </w:rPr>
        <w:t>Transfer success modal displays with new balance</w:t>
      </w:r>
    </w:p>
    <w:p>
      <w:pPr>
        <w:pStyle w:val="ListBullet"/>
        <w:spacing w:after="60" w:before="0"/>
        <w:ind w:left="432"/>
      </w:pPr>
      <w:r>
        <w:rPr>
          <w:rFonts w:ascii="Calibri" w:hAnsi="Calibri"/>
          <w:b w:val="0"/>
          <w:i w:val="0"/>
          <w:sz w:val="20"/>
        </w:rPr>
        <w:t>/api/transfer is called with status=completed; balance is deducted from SQLite</w:t>
      </w:r>
    </w:p>
    <w:p>
      <w:pPr>
        <w:pStyle w:val="ListBullet"/>
        <w:spacing w:after="60" w:before="0"/>
        <w:ind w:left="432"/>
      </w:pPr>
      <w:r>
        <w:rPr>
          <w:rFonts w:ascii="Calibri" w:hAnsi="Calibri"/>
          <w:b w:val="0"/>
          <w:i w:val="0"/>
          <w:sz w:val="20"/>
        </w:rPr>
        <w:t>Transaction logged with risk_score ~1.0 and triggered_signals=["No anomalies detected"]</w:t>
      </w:r>
    </w:p>
    <w:p>
      <w:pPr>
        <w:pStyle w:val="ListBullet"/>
        <w:spacing w:after="60" w:before="0"/>
        <w:ind w:left="432"/>
      </w:pPr>
      <w:r>
        <w:rPr>
          <w:rFonts w:ascii="Calibri" w:hAnsi="Calibri"/>
          <w:b w:val="0"/>
          <w:i w:val="0"/>
          <w:sz w:val="20"/>
        </w:rPr>
        <w:t>Continuous passive monitoring remains active for the remainder of the session</w:t>
      </w:r>
    </w:p>
    <w:p>
      <w:pPr>
        <w:pStyle w:val="Heading2"/>
        <w:spacing w:before="240" w:after="80"/>
      </w:pPr>
      <w:r>
        <w:t>5.2  MEDIUM RISK — User Presence Verification</w:t>
      </w:r>
    </w:p>
    <w:p>
      <w:pPr>
        <w:pStyle w:val="Heading3"/>
        <w:spacing w:before="160" w:after="60"/>
      </w:pPr>
      <w:r>
        <w:t>5.2.1  Trigger Conditions</w:t>
      </w:r>
    </w:p>
    <w:p>
      <w:pPr>
        <w:spacing w:before="0" w:after="100" w:line="260" w:lineRule="exact"/>
      </w:pPr>
      <w:r>
        <w:rPr>
          <w:rFonts w:ascii="Calibri" w:hAnsi="Calibri"/>
          <w:b w:val="0"/>
          <w:i w:val="0"/>
          <w:sz w:val="20"/>
        </w:rPr>
        <w:t>Score between 3.0 and 7.0, OR transfer amount exceeds 90,000 ALL regardless of score.</w:t>
      </w:r>
    </w:p>
    <w:p>
      <w:pPr>
        <w:pStyle w:val="Heading3"/>
        <w:spacing w:before="160" w:after="60"/>
      </w:pPr>
      <w:r>
        <w:t>5.2.2  Four-Tab Authentication Interface</w:t>
      </w:r>
    </w:p>
    <w:p>
      <w:pPr>
        <w:spacing w:before="0" w:after="100" w:line="260" w:lineRule="exact"/>
      </w:pPr>
      <w:r>
        <w:rPr>
          <w:rFonts w:ascii="Calibri" w:hAnsi="Calibri"/>
          <w:b w:val="0"/>
          <w:i w:val="0"/>
          <w:sz w:val="20"/>
        </w:rPr>
        <w:t>The MEDIUM modal presents four authentication methods via a tab interface. The customer selects their preferred method. All four satisfy the EU PSD2 inherence factor requirement (something you are). Any one method is sufficient to proceed.</w:t>
      </w:r>
    </w:p>
    <w:tbl>
      <w:tblPr>
        <w:tblStyle w:val="TableGrid"/>
        <w:tblW w:type="auto" w:w="0"/>
        <w:tblLook w:firstColumn="1" w:firstRow="1" w:lastColumn="0" w:lastRow="0" w:noHBand="0" w:noVBand="1" w:val="04A0"/>
      </w:tblPr>
      <w:tblGrid>
        <w:gridCol w:w="2268"/>
        <w:gridCol w:w="2268"/>
        <w:gridCol w:w="2268"/>
        <w:gridCol w:w="2268"/>
      </w:tblGrid>
      <w:tr>
        <w:tc>
          <w:tcPr>
            <w:tcW w:type="dxa" w:w="1584"/>
            <w:shd w:val="clear" w:color="auto" w:fill="0D47A1"/>
          </w:tcPr>
          <w:p>
            <w:pPr>
              <w:spacing w:before="60" w:after="60"/>
            </w:pPr>
            <w:r>
              <w:rPr>
                <w:rFonts w:ascii="Calibri" w:hAnsi="Calibri"/>
                <w:b/>
                <w:color w:val="FFFFFF"/>
                <w:sz w:val="18"/>
              </w:rPr>
              <w:t>Method</w:t>
            </w:r>
          </w:p>
        </w:tc>
        <w:tc>
          <w:tcPr>
            <w:tcW w:type="dxa" w:w="2736"/>
            <w:shd w:val="clear" w:color="auto" w:fill="0D47A1"/>
          </w:tcPr>
          <w:p>
            <w:pPr>
              <w:spacing w:before="60" w:after="60"/>
            </w:pPr>
            <w:r>
              <w:rPr>
                <w:rFonts w:ascii="Calibri" w:hAnsi="Calibri"/>
                <w:b/>
                <w:color w:val="FFFFFF"/>
                <w:sz w:val="18"/>
              </w:rPr>
              <w:t>Demo Behaviour</w:t>
            </w:r>
          </w:p>
        </w:tc>
        <w:tc>
          <w:tcPr>
            <w:tcW w:type="dxa" w:w="3456"/>
            <w:shd w:val="clear" w:color="auto" w:fill="0D47A1"/>
          </w:tcPr>
          <w:p>
            <w:pPr>
              <w:spacing w:before="60" w:after="60"/>
            </w:pPr>
            <w:r>
              <w:rPr>
                <w:rFonts w:ascii="Calibri" w:hAnsi="Calibri"/>
                <w:b/>
                <w:color w:val="FFFFFF"/>
                <w:sz w:val="18"/>
              </w:rPr>
              <w:t>Production Implementation</w:t>
            </w:r>
          </w:p>
        </w:tc>
        <w:tc>
          <w:tcPr>
            <w:tcW w:type="dxa" w:w="1440"/>
            <w:shd w:val="clear" w:color="auto" w:fill="0D47A1"/>
          </w:tcPr>
          <w:p>
            <w:pPr>
              <w:spacing w:before="60" w:after="60"/>
            </w:pPr>
            <w:r>
              <w:rPr>
                <w:rFonts w:ascii="Calibri" w:hAnsi="Calibri"/>
                <w:b/>
                <w:color w:val="FFFFFF"/>
                <w:sz w:val="18"/>
              </w:rPr>
              <w:t>SCA Factor</w:t>
            </w:r>
          </w:p>
        </w:tc>
      </w:tr>
      <w:tr>
        <w:tc>
          <w:tcPr>
            <w:tcW w:type="dxa" w:w="1584"/>
            <w:shd w:val="clear" w:color="auto" w:fill="F5F8FD"/>
          </w:tcPr>
          <w:p>
            <w:pPr>
              <w:spacing w:before="40" w:after="40"/>
            </w:pPr>
            <w:r>
              <w:rPr>
                <w:rFonts w:ascii="Calibri" w:hAnsi="Calibri"/>
                <w:b/>
                <w:color w:val="192638"/>
                <w:sz w:val="18"/>
              </w:rPr>
              <w:t>Face ID</w:t>
            </w:r>
          </w:p>
        </w:tc>
        <w:tc>
          <w:tcPr>
            <w:tcW w:type="dxa" w:w="2736"/>
            <w:shd w:val="clear" w:color="auto" w:fill="F5F8FD"/>
          </w:tcPr>
          <w:p>
            <w:pPr>
              <w:spacing w:before="40" w:after="40"/>
            </w:pPr>
            <w:r>
              <w:rPr>
                <w:rFonts w:ascii="Calibri" w:hAnsi="Calibri"/>
                <w:sz w:val="18"/>
              </w:rPr>
              <w:t>1.8s CSS scan-line animation sweeping face silhouette; icon changes to checkmark</w:t>
            </w:r>
          </w:p>
        </w:tc>
        <w:tc>
          <w:tcPr>
            <w:tcW w:type="dxa" w:w="3456"/>
            <w:shd w:val="clear" w:color="auto" w:fill="F5F8FD"/>
          </w:tcPr>
          <w:p>
            <w:pPr>
              <w:spacing w:before="40" w:after="40"/>
            </w:pPr>
            <w:r>
              <w:rPr>
                <w:rFonts w:ascii="Calibri" w:hAnsi="Calibri"/>
                <w:sz w:val="18"/>
              </w:rPr>
              <w:t>navigator.credentials.get() → OS triggers Secure Enclave Face ID; signed assertion returned to server</w:t>
            </w:r>
          </w:p>
        </w:tc>
        <w:tc>
          <w:tcPr>
            <w:tcW w:type="dxa" w:w="1440"/>
            <w:shd w:val="clear" w:color="auto" w:fill="F5F8FD"/>
          </w:tcPr>
          <w:p>
            <w:pPr>
              <w:spacing w:before="40" w:after="40"/>
            </w:pPr>
            <w:r>
              <w:rPr>
                <w:rFonts w:ascii="Calibri" w:hAnsi="Calibri"/>
                <w:sz w:val="18"/>
              </w:rPr>
              <w:t>Inherence</w:t>
            </w:r>
          </w:p>
        </w:tc>
      </w:tr>
      <w:tr>
        <w:tc>
          <w:tcPr>
            <w:tcW w:type="dxa" w:w="1584"/>
            <w:shd w:val="clear" w:color="auto" w:fill="FFFFFF"/>
          </w:tcPr>
          <w:p>
            <w:pPr>
              <w:spacing w:before="40" w:after="40"/>
            </w:pPr>
            <w:r>
              <w:rPr>
                <w:rFonts w:ascii="Calibri" w:hAnsi="Calibri"/>
                <w:b/>
                <w:color w:val="192638"/>
                <w:sz w:val="18"/>
              </w:rPr>
              <w:t>Touch ID</w:t>
            </w:r>
          </w:p>
        </w:tc>
        <w:tc>
          <w:tcPr>
            <w:tcW w:type="dxa" w:w="2736"/>
            <w:shd w:val="clear" w:color="auto" w:fill="FFFFFF"/>
          </w:tcPr>
          <w:p>
            <w:pPr>
              <w:spacing w:before="40" w:after="40"/>
            </w:pPr>
            <w:r>
              <w:rPr>
                <w:rFonts w:ascii="Calibri" w:hAnsi="Calibri"/>
                <w:sz w:val="18"/>
              </w:rPr>
              <w:t>1.8s fingerprint pulse animation; icon success state</w:t>
            </w:r>
          </w:p>
        </w:tc>
        <w:tc>
          <w:tcPr>
            <w:tcW w:type="dxa" w:w="3456"/>
            <w:shd w:val="clear" w:color="auto" w:fill="FFFFFF"/>
          </w:tcPr>
          <w:p>
            <w:pPr>
              <w:spacing w:before="40" w:after="40"/>
            </w:pPr>
            <w:r>
              <w:rPr>
                <w:rFonts w:ascii="Calibri" w:hAnsi="Calibri"/>
                <w:sz w:val="18"/>
              </w:rPr>
              <w:t>navigator.credentials.get() → iOS Secure Enclave / Android TEE fingerprint prompt; private key never leaves device</w:t>
            </w:r>
          </w:p>
        </w:tc>
        <w:tc>
          <w:tcPr>
            <w:tcW w:type="dxa" w:w="1440"/>
            <w:shd w:val="clear" w:color="auto" w:fill="FFFFFF"/>
          </w:tcPr>
          <w:p>
            <w:pPr>
              <w:spacing w:before="40" w:after="40"/>
            </w:pPr>
            <w:r>
              <w:rPr>
                <w:rFonts w:ascii="Calibri" w:hAnsi="Calibri"/>
                <w:sz w:val="18"/>
              </w:rPr>
              <w:t>Inherence</w:t>
            </w:r>
          </w:p>
        </w:tc>
      </w:tr>
      <w:tr>
        <w:tc>
          <w:tcPr>
            <w:tcW w:type="dxa" w:w="1584"/>
            <w:shd w:val="clear" w:color="auto" w:fill="F5F8FD"/>
          </w:tcPr>
          <w:p>
            <w:pPr>
              <w:spacing w:before="40" w:after="40"/>
            </w:pPr>
            <w:r>
              <w:rPr>
                <w:rFonts w:ascii="Calibri" w:hAnsi="Calibri"/>
                <w:b/>
                <w:color w:val="192638"/>
                <w:sz w:val="18"/>
              </w:rPr>
              <w:t>Passkey</w:t>
            </w:r>
          </w:p>
        </w:tc>
        <w:tc>
          <w:tcPr>
            <w:tcW w:type="dxa" w:w="2736"/>
            <w:shd w:val="clear" w:color="auto" w:fill="F5F8FD"/>
          </w:tcPr>
          <w:p>
            <w:pPr>
              <w:spacing w:before="40" w:after="40"/>
            </w:pPr>
            <w:r>
              <w:rPr>
                <w:rFonts w:ascii="Calibri" w:hAnsi="Calibri"/>
                <w:sz w:val="18"/>
              </w:rPr>
              <w:t>1.8s key bounce animation; icon success state</w:t>
            </w:r>
          </w:p>
        </w:tc>
        <w:tc>
          <w:tcPr>
            <w:tcW w:type="dxa" w:w="3456"/>
            <w:shd w:val="clear" w:color="auto" w:fill="F5F8FD"/>
          </w:tcPr>
          <w:p>
            <w:pPr>
              <w:spacing w:before="40" w:after="40"/>
            </w:pPr>
            <w:r>
              <w:rPr>
                <w:rFonts w:ascii="Calibri" w:hAnsi="Calibri"/>
                <w:sz w:val="18"/>
              </w:rPr>
              <w:t>navigator.credentials.get() with publicKey options → iCloud Keychain (iOS) or Google PM (Android); FIDO2 assertion</w:t>
            </w:r>
          </w:p>
        </w:tc>
        <w:tc>
          <w:tcPr>
            <w:tcW w:type="dxa" w:w="1440"/>
            <w:shd w:val="clear" w:color="auto" w:fill="F5F8FD"/>
          </w:tcPr>
          <w:p>
            <w:pPr>
              <w:spacing w:before="40" w:after="40"/>
            </w:pPr>
            <w:r>
              <w:rPr>
                <w:rFonts w:ascii="Calibri" w:hAnsi="Calibri"/>
                <w:sz w:val="18"/>
              </w:rPr>
              <w:t>Possession + Inherence</w:t>
            </w:r>
          </w:p>
        </w:tc>
      </w:tr>
      <w:tr>
        <w:tc>
          <w:tcPr>
            <w:tcW w:type="dxa" w:w="1584"/>
            <w:shd w:val="clear" w:color="auto" w:fill="FFFFFF"/>
          </w:tcPr>
          <w:p>
            <w:pPr>
              <w:spacing w:before="40" w:after="40"/>
            </w:pPr>
            <w:r>
              <w:rPr>
                <w:rFonts w:ascii="Calibri" w:hAnsi="Calibri"/>
                <w:b/>
                <w:color w:val="192638"/>
                <w:sz w:val="18"/>
              </w:rPr>
              <w:t>Push Approval</w:t>
            </w:r>
          </w:p>
        </w:tc>
        <w:tc>
          <w:tcPr>
            <w:tcW w:type="dxa" w:w="2736"/>
            <w:shd w:val="clear" w:color="auto" w:fill="FFFFFF"/>
          </w:tcPr>
          <w:p>
            <w:pPr>
              <w:spacing w:before="40" w:after="40"/>
            </w:pPr>
            <w:r>
              <w:rPr>
                <w:rFonts w:ascii="Calibri" w:hAnsi="Calibri"/>
                <w:sz w:val="18"/>
              </w:rPr>
              <w:t>Push notification mock card shown; 1.8s simulation; card turns green</w:t>
            </w:r>
          </w:p>
        </w:tc>
        <w:tc>
          <w:tcPr>
            <w:tcW w:type="dxa" w:w="3456"/>
            <w:shd w:val="clear" w:color="auto" w:fill="FFFFFF"/>
          </w:tcPr>
          <w:p>
            <w:pPr>
              <w:spacing w:before="40" w:after="40"/>
            </w:pPr>
            <w:r>
              <w:rPr>
                <w:rFonts w:ascii="Calibri" w:hAnsi="Calibri"/>
                <w:sz w:val="18"/>
              </w:rPr>
              <w:t>APNs (iOS) or FCM (Android) silent push to Fibank companion app; out-of-band approval from second device</w:t>
            </w:r>
          </w:p>
        </w:tc>
        <w:tc>
          <w:tcPr>
            <w:tcW w:type="dxa" w:w="1440"/>
            <w:shd w:val="clear" w:color="auto" w:fill="FFFFFF"/>
          </w:tcPr>
          <w:p>
            <w:pPr>
              <w:spacing w:before="40" w:after="40"/>
            </w:pPr>
            <w:r>
              <w:rPr>
                <w:rFonts w:ascii="Calibri" w:hAnsi="Calibri"/>
                <w:sz w:val="18"/>
              </w:rPr>
              <w:t>Possession</w:t>
            </w:r>
          </w:p>
        </w:tc>
      </w:tr>
    </w:tbl>
    <w:p/>
    <w:p>
      <w:pPr>
        <w:pStyle w:val="Heading3"/>
        <w:spacing w:before="160" w:after="60"/>
      </w:pPr>
      <w:r>
        <w:t>5.2.3  Albanian ID Card Fallback</w:t>
      </w:r>
    </w:p>
    <w:p>
      <w:pPr>
        <w:spacing w:before="0" w:after="100" w:line="260" w:lineRule="exact"/>
      </w:pPr>
      <w:r>
        <w:rPr>
          <w:rFonts w:ascii="Calibri" w:hAnsi="Calibri"/>
          <w:b w:val="0"/>
          <w:i w:val="0"/>
          <w:sz w:val="20"/>
        </w:rPr>
        <w:t>A collapsible &lt;details&gt; element at the bottom of the modal reveals an alternative flow for customers without biometric-capable devices: ID card number entry + photo upload. In production, the uploaded image would be sent to a document verification API (Onfido, Jumio, or an AKEP-compliant Albanian provider) with liveness detection to prevent photo replay attacks.</w:t>
      </w:r>
    </w:p>
    <w:p>
      <w:pPr>
        <w:pStyle w:val="Heading3"/>
        <w:spacing w:before="160" w:after="60"/>
      </w:pPr>
      <w:r>
        <w:t>5.2.4  Post-Verification Flow</w:t>
      </w:r>
    </w:p>
    <w:p>
      <w:pPr>
        <w:spacing w:before="0" w:after="100" w:line="260" w:lineRule="exact"/>
      </w:pPr>
      <w:r>
        <w:rPr>
          <w:rFonts w:ascii="Calibri" w:hAnsi="Calibri"/>
          <w:b w:val="0"/>
          <w:i w:val="0"/>
          <w:sz w:val="20"/>
        </w:rPr>
        <w:t>On any successful authentication: a brief 0.8-second processing delay fires, /api/transfer is called with status=completed, the modal dismisses, confetti fires in blue palette, and the success modal displays the updated balance. The transaction is logged with the full signal list for audit.</w:t>
      </w:r>
    </w:p>
    <w:p>
      <w:pPr>
        <w:pStyle w:val="Heading2"/>
        <w:spacing w:before="240" w:after="80"/>
      </w:pPr>
      <w:r>
        <w:t>5.3  HIGH RISK — Strong Identity Proofing</w:t>
      </w:r>
    </w:p>
    <w:p>
      <w:pPr>
        <w:pStyle w:val="Heading3"/>
        <w:spacing w:before="160" w:after="60"/>
      </w:pPr>
      <w:r>
        <w:t>5.3.1  Trigger Conditions</w:t>
      </w:r>
    </w:p>
    <w:p>
      <w:pPr>
        <w:spacing w:before="0" w:after="100" w:line="260" w:lineRule="exact"/>
      </w:pPr>
      <w:r>
        <w:rPr>
          <w:rFonts w:ascii="Calibri" w:hAnsi="Calibri"/>
          <w:b w:val="0"/>
          <w:i w:val="0"/>
          <w:sz w:val="20"/>
        </w:rPr>
        <w:t>Score ≥ 7.0 — multiple critical signals co-occurring. Typical real-world trigger: customer on a phone call with a scammer who sent a phishing link, screen sharing active, typing robotically, transferring to an unknown neobank account. Any two HIGH-tier signals in combination typically exceed the 7.0 threshold.</w:t>
      </w:r>
    </w:p>
    <w:p>
      <w:pPr>
        <w:pStyle w:val="Heading3"/>
        <w:spacing w:before="160" w:after="60"/>
      </w:pPr>
      <w:r>
        <w:t>5.3.2  Step 1 — FIDO Security Key Challenge</w:t>
      </w:r>
    </w:p>
    <w:p>
      <w:pPr>
        <w:spacing w:before="0" w:after="100" w:line="260" w:lineRule="exact"/>
      </w:pPr>
      <w:r>
        <w:rPr>
          <w:rFonts w:ascii="Calibri" w:hAnsi="Calibri"/>
          <w:b w:val="0"/>
          <w:i w:val="0"/>
          <w:sz w:val="20"/>
        </w:rPr>
        <w:t>A full-screen lockdown overlay activates (position: fixed; inset: 0; z-index: 9999; red radial gradient background with pulsing animation). The entire application is covered. The customer sees:</w:t>
      </w:r>
    </w:p>
    <w:p>
      <w:pPr>
        <w:pStyle w:val="ListBullet"/>
        <w:spacing w:after="60" w:before="0"/>
        <w:ind w:left="432"/>
      </w:pPr>
      <w:r>
        <w:rPr>
          <w:rFonts w:ascii="Calibri" w:hAnsi="Calibri"/>
          <w:b w:val="0"/>
          <w:i w:val="0"/>
          <w:sz w:val="20"/>
        </w:rPr>
        <w:t>Animated red siren emoji (CSS glow keyframe at 0.85s period)</w:t>
      </w:r>
    </w:p>
    <w:p>
      <w:pPr>
        <w:pStyle w:val="ListBullet"/>
        <w:spacing w:after="60" w:before="0"/>
        <w:ind w:left="432"/>
      </w:pPr>
      <w:r>
        <w:rPr>
          <w:rFonts w:ascii="Calibri" w:hAnsi="Calibri"/>
          <w:b w:val="0"/>
          <w:i w:val="0"/>
          <w:sz w:val="20"/>
        </w:rPr>
        <w:t>"Critical Security Lockdown" heading in red</w:t>
      </w:r>
    </w:p>
    <w:p>
      <w:pPr>
        <w:pStyle w:val="ListBullet"/>
        <w:spacing w:after="60" w:before="0"/>
        <w:ind w:left="432"/>
      </w:pPr>
      <w:r>
        <w:rPr>
          <w:rFonts w:ascii="Calibri" w:hAnsi="Calibri"/>
          <w:b w:val="0"/>
          <w:i w:val="0"/>
          <w:sz w:val="20"/>
        </w:rPr>
        <w:t>FIDO code input field (monospace, 6px letter-spacing, password-masked)</w:t>
      </w:r>
    </w:p>
    <w:p>
      <w:pPr>
        <w:pStyle w:val="ListBullet"/>
        <w:spacing w:after="60" w:before="0"/>
        <w:ind w:left="432"/>
      </w:pPr>
      <w:r>
        <w:rPr>
          <w:rFonts w:ascii="Calibri" w:hAnsi="Calibri"/>
          <w:b w:val="0"/>
          <w:i w:val="0"/>
          <w:sz w:val="20"/>
        </w:rPr>
        <w:t>Explanation text from the risk engine identifying which signals triggered the lockdown</w:t>
      </w:r>
    </w:p>
    <w:p>
      <w:pPr>
        <w:spacing w:before="0" w:after="100" w:line="260" w:lineRule="exact"/>
      </w:pPr>
      <w:r>
        <w:rPr>
          <w:rFonts w:ascii="Calibri" w:hAnsi="Calibri"/>
          <w:b w:val="0"/>
          <w:i w:val="0"/>
          <w:sz w:val="20"/>
        </w:rPr>
        <w:t>Demo FIDO code: 12345. If correct: FIDO step hides, biometric step displays. If incorrect: input shakes (CSS shake animation), error message appears, 1.2-second delay, lockdown fail state displays, /api/transfer is called with status=blocked, all form fields are disabled, 24-hour countdown timer begins.</w:t>
      </w:r>
    </w:p>
    <w:tbl>
      <w:tblPr>
        <w:tblStyle w:val="TableGrid"/>
        <w:tblW w:type="auto" w:w="0"/>
        <w:tblLook w:firstColumn="1" w:firstRow="1" w:lastColumn="0" w:lastRow="0" w:noHBand="0" w:noVBand="1" w:val="04A0"/>
      </w:tblPr>
      <w:tblGrid>
        <w:gridCol w:w="9072"/>
      </w:tblGrid>
      <w:tr>
        <w:tc>
          <w:tcPr>
            <w:tcW w:type="dxa" w:w="9072"/>
            <w:shd w:val="clear" w:color="auto" w:fill="FDEEF0"/>
          </w:tcPr>
          <w:p>
            <w:pPr>
              <w:spacing w:before="80" w:after="80"/>
              <w:ind w:left="144"/>
            </w:pPr>
            <w:r>
              <w:rPr>
                <w:rFonts w:ascii="Calibri" w:hAnsi="Calibri"/>
                <w:sz w:val="19"/>
              </w:rPr>
              <w:t>Scam-Breaking Mechanism: A social engineering scammer on the phone cannot know the FIDO code without physical possession of the customer's hardware key. This creates a hard break point — the victim realises the transfer is being blocked by something the scammer cannot bypass remotely. In real deployments, this screen would also display the bank's fraud hotline and a Talk to a Fraud Advisor button.</w:t>
              <w:br/>
            </w:r>
          </w:p>
        </w:tc>
      </w:tr>
    </w:tbl>
    <w:p/>
    <w:p>
      <w:pPr>
        <w:pStyle w:val="Heading3"/>
        <w:spacing w:before="160" w:after="60"/>
      </w:pPr>
      <w:r>
        <w:t>5.3.3  Step 2 — Biometric Confirmation</w:t>
      </w:r>
    </w:p>
    <w:p>
      <w:pPr>
        <w:spacing w:before="0" w:after="100" w:line="260" w:lineRule="exact"/>
      </w:pPr>
      <w:r>
        <w:rPr>
          <w:rFonts w:ascii="Calibri" w:hAnsi="Calibri"/>
          <w:b w:val="0"/>
          <w:i w:val="0"/>
          <w:sz w:val="20"/>
        </w:rPr>
        <w:t>After correct FIDO entry, three biometric options appear (Face ID, Touch ID, Passkey). On selection, a 2-second processing animation runs. On completion: /api/transfer status=completed, balance deducted, lockdown overlay dismisses, confetti fires, success modal displays. In production this step calls navigator.credentials.get() — the biometric is verified on-device via the Secure Enclave; only a signed cryptographic assertion reaches the server.</w:t>
      </w:r>
    </w:p>
    <w:p>
      <w:r>
        <w:br w:type="page"/>
      </w:r>
    </w:p>
    <w:p>
      <w:pPr>
        <w:pStyle w:val="Heading1"/>
        <w:spacing w:before="360" w:after="120"/>
      </w:pPr>
      <w:r>
        <w:t>6.  AI / ML Model Deep-Dive</w:t>
      </w:r>
    </w:p>
    <w:p>
      <w:pPr>
        <w:pStyle w:val="Heading2"/>
        <w:spacing w:before="240" w:after="80"/>
      </w:pPr>
      <w:r>
        <w:t>6.1  Why XGBoost</w:t>
      </w:r>
    </w:p>
    <w:p>
      <w:pPr>
        <w:spacing w:before="0" w:after="100" w:line="260" w:lineRule="exact"/>
      </w:pPr>
      <w:r>
        <w:rPr>
          <w:rFonts w:ascii="Calibri" w:hAnsi="Calibri"/>
          <w:b w:val="0"/>
          <w:i w:val="0"/>
          <w:sz w:val="20"/>
        </w:rPr>
        <w:t>The system uses XGBoost (eXtreme Gradient Boosting) as its machine learning backbone. XGBoost was selected for payment fraud detection for six specific reasons:</w:t>
      </w:r>
    </w:p>
    <w:p>
      <w:pPr>
        <w:pStyle w:val="ListNumber"/>
        <w:spacing w:after="60" w:before="0"/>
      </w:pPr>
      <w:r>
        <w:rPr>
          <w:rFonts w:ascii="Calibri" w:hAnsi="Calibri"/>
          <w:b w:val="0"/>
          <w:i w:val="0"/>
          <w:sz w:val="20"/>
        </w:rPr>
        <w:t>Superior performance on imbalanced tabular datasets — fraud is rare (typically 0.1–2% of transactions), and XGBoost handles class imbalance via scale_pos_weight hyperparameter.</w:t>
      </w:r>
    </w:p>
    <w:p>
      <w:pPr>
        <w:pStyle w:val="ListNumber"/>
        <w:spacing w:after="60" w:before="0"/>
      </w:pPr>
      <w:r>
        <w:rPr>
          <w:rFonts w:ascii="Calibri" w:hAnsi="Calibri"/>
          <w:b w:val="0"/>
          <w:i w:val="0"/>
          <w:sz w:val="20"/>
        </w:rPr>
        <w:t>Built-in L1/L2 regularisation prevents overfitting on small fraud label sets.</w:t>
      </w:r>
    </w:p>
    <w:p>
      <w:pPr>
        <w:pStyle w:val="ListNumber"/>
        <w:spacing w:after="60" w:before="0"/>
      </w:pPr>
      <w:r>
        <w:rPr>
          <w:rFonts w:ascii="Calibri" w:hAnsi="Calibri"/>
          <w:b w:val="0"/>
          <w:i w:val="0"/>
          <w:sz w:val="20"/>
        </w:rPr>
        <w:t>Native handling of missing values — common in real-world transaction data where some signals are unavailable for certain sessions.</w:t>
      </w:r>
    </w:p>
    <w:p>
      <w:pPr>
        <w:pStyle w:val="ListNumber"/>
        <w:spacing w:after="60" w:before="0"/>
      </w:pPr>
      <w:r>
        <w:rPr>
          <w:rFonts w:ascii="Calibri" w:hAnsi="Calibri"/>
          <w:b w:val="0"/>
          <w:i w:val="0"/>
          <w:sz w:val="20"/>
        </w:rPr>
        <w:t>Fast inference (&lt;1ms per prediction on CPU) — suitable for synchronous real-time scoring in the transfer flow.</w:t>
      </w:r>
    </w:p>
    <w:p>
      <w:pPr>
        <w:pStyle w:val="ListNumber"/>
        <w:spacing w:after="60" w:before="0"/>
      </w:pPr>
      <w:r>
        <w:rPr>
          <w:rFonts w:ascii="Calibri" w:hAnsi="Calibri"/>
          <w:b w:val="0"/>
          <w:i w:val="0"/>
          <w:sz w:val="20"/>
        </w:rPr>
        <w:t>Highly interpretable feature importances — regulators and auditors can inspect which features drive individual predictions.</w:t>
      </w:r>
    </w:p>
    <w:p>
      <w:pPr>
        <w:pStyle w:val="ListNumber"/>
        <w:spacing w:after="60" w:before="0"/>
      </w:pPr>
      <w:r>
        <w:rPr>
          <w:rFonts w:ascii="Calibri" w:hAnsi="Calibri"/>
          <w:b w:val="0"/>
          <w:i w:val="0"/>
          <w:sz w:val="20"/>
        </w:rPr>
        <w:t>Proven track record — XGBoost and LightGBM dominate Kaggle payment fraud detection competitions and are used in production by Mastercard Decision Intelligence, Featurespace ARIC, and Feedzai.</w:t>
      </w:r>
    </w:p>
    <w:p>
      <w:pPr>
        <w:pStyle w:val="Heading2"/>
        <w:spacing w:before="240" w:after="80"/>
      </w:pPr>
      <w:r>
        <w:t>6.2  The 27-Feature Input Vector</w:t>
      </w:r>
    </w:p>
    <w:p>
      <w:pPr>
        <w:spacing w:before="0" w:after="100" w:line="260" w:lineRule="exact"/>
      </w:pPr>
      <w:r>
        <w:rPr>
          <w:rFonts w:ascii="Calibri" w:hAnsi="Calibri"/>
          <w:b w:val="0"/>
          <w:i w:val="0"/>
          <w:sz w:val="20"/>
        </w:rPr>
        <w:t>The XGBoost model receives a precisely ordered 27-element feature vector. The column order must exactly match the training-time FEATURE_ORDER — any mismatch produces wrong predictions. The order is:</w:t>
      </w:r>
    </w:p>
    <w:p>
      <w:pPr>
        <w:spacing w:before="80" w:after="80"/>
        <w:ind w:left="576"/>
        <w:shd w:val="clear" w:color="auto" w:fill="F0F4F8"/>
      </w:pPr>
      <w:r>
        <w:rPr>
          <w:rFonts w:ascii="Courier New" w:hAnsi="Courier New"/>
          <w:color w:val="0D3B8A"/>
          <w:sz w:val="17"/>
        </w:rPr>
        <w:t>FEATURE_ORDER = [</w:t>
        <w:br/>
        <w:t xml:space="preserve">    'is_historical_payee', 'is_vm_or_emulator', 'webdriver_detected',</w:t>
        <w:br/>
        <w:t xml:space="preserve">    'is_known_location', 'profile_updated_this_session', 'timezone_mismatch',</w:t>
        <w:br/>
        <w:t xml:space="preserve">    'pages_visited_pre_transfer', 'time_login_to_transfer_sec', 'used_fido_passkey',</w:t>
        <w:br/>
        <w:t xml:space="preserve">    'form_completion_time_sec', 'password_entry_ms', 'mouse_linearity_score',</w:t>
        <w:br/>
        <w:t xml:space="preserve">    'typing_cadence_score', 'is_neobank_routing', 'payee_account_age_hours',</w:t>
        <w:br/>
        <w:t xml:space="preserve">    'is_in_active_call', 'is_screensharing_active', 'remote_access_app_detected',</w:t>
        <w:br/>
        <w:t xml:space="preserve">    'trust_score_live', 'session_tension', 'coached_fraud_index', 'mule_potential',</w:t>
        <w:br/>
        <w:t xml:space="preserve">    'bot_agility_index', 'transfer_intensity', 'transfer_amount_lek',</w:t>
        <w:br/>
        <w:t xml:space="preserve">    'transfers_past_24h', 'ip_asn_type_encoded'</w:t>
        <w:br/>
        <w:t>]</w:t>
      </w:r>
    </w:p>
    <w:p>
      <w:pPr>
        <w:spacing w:before="0" w:after="100" w:line="260" w:lineRule="exact"/>
      </w:pPr>
      <w:r>
        <w:rPr>
          <w:rFonts w:ascii="Calibri" w:hAnsi="Calibri"/>
          <w:b w:val="0"/>
          <w:i w:val="0"/>
          <w:sz w:val="20"/>
        </w:rPr>
        <w:t>The ip_asn_type feature is categorical and must be encoded using the persisted LabelEncoder (label_encoder.joblib) loaded at application startup. Using a different encoder instance would produce wrong integer mappings. Note: session_tension and mule_potential are retained in the 27-feature vector for XGBoost model compatibility, but are fixed at 0 in the rule engine — they no longer contribute to the transfer decision score.</w:t>
      </w:r>
    </w:p>
    <w:p>
      <w:pPr>
        <w:pStyle w:val="Heading2"/>
        <w:spacing w:before="240" w:after="80"/>
      </w:pPr>
      <w:r>
        <w:t>6.3  Model Loading and Inference</w:t>
      </w:r>
    </w:p>
    <w:p>
      <w:pPr>
        <w:spacing w:before="80" w:after="80"/>
        <w:ind w:left="576"/>
        <w:shd w:val="clear" w:color="auto" w:fill="F0F4F8"/>
      </w:pPr>
      <w:r>
        <w:rPr>
          <w:rFonts w:ascii="Courier New" w:hAnsi="Courier New"/>
          <w:color w:val="0D3B8A"/>
          <w:sz w:val="17"/>
        </w:rPr>
        <w:t># At application startup:</w:t>
        <w:br/>
        <w:t>MODEL      = joblib.load('best_fraud_engine.joblib')</w:t>
        <w:br/>
        <w:t>_ENCODERS  = joblib.load('label_encoder.joblib')</w:t>
        <w:br/>
        <w:t>IP_ASN_ENC = _ENCODERS['ip_asn_type']</w:t>
        <w:br/>
        <w:br/>
        <w:t># At inference time (Profile page / presenter gauge):</w:t>
        <w:br/>
        <w:t>X    = np.array([[feats[f] for f in FEATURE_ORDER]])  # shape (1, 27)</w:t>
        <w:br/>
        <w:t>prob = float(MODEL.predict_proba(X)[0][1])             # P(fraud)</w:t>
        <w:br/>
        <w:t>risk_score = round(prob * 10, 2)                       # scale to 0–10</w:t>
      </w:r>
    </w:p>
    <w:p>
      <w:pPr>
        <w:spacing w:before="0" w:after="100" w:line="260" w:lineRule="exact"/>
      </w:pPr>
      <w:r>
        <w:rPr>
          <w:rFonts w:ascii="Calibri" w:hAnsi="Calibri"/>
          <w:b w:val="0"/>
          <w:i w:val="0"/>
          <w:sz w:val="20"/>
        </w:rPr>
        <w:t>The XGBoost score drives the Profile page's animated gauge, signal breakdown list, and risk badge. The transfer flow (LOW / MEDIUM / HIGH branching) uses calculate_risk_score() instead — ensuring presenter-controlled, predictable demo outcomes while still demonstrating the ML model's output.</w:t>
      </w:r>
    </w:p>
    <w:p>
      <w:pPr>
        <w:pStyle w:val="Heading2"/>
        <w:spacing w:before="240" w:after="80"/>
      </w:pPr>
      <w:r>
        <w:t>6.4  Demo vs Real Data — Performance Gap</w:t>
      </w:r>
    </w:p>
    <w:p>
      <w:pPr>
        <w:spacing w:before="0" w:after="100" w:line="260" w:lineRule="exact"/>
      </w:pPr>
      <w:r>
        <w:rPr>
          <w:rFonts w:ascii="Calibri" w:hAnsi="Calibri"/>
          <w:b w:val="0"/>
          <w:i w:val="0"/>
          <w:sz w:val="20"/>
        </w:rPr>
        <w:t>The demo model was trained on a synthetic dataset. This is appropriate for a hackathon proof-of-concept but represents a significant departure from production capability. The table below quantifies the gap and estimates the production performance achievable with real data:</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0D47A1"/>
          </w:tcPr>
          <w:p>
            <w:pPr>
              <w:spacing w:before="60" w:after="60"/>
            </w:pPr>
            <w:r>
              <w:rPr>
                <w:rFonts w:ascii="Calibri" w:hAnsi="Calibri"/>
                <w:b/>
                <w:color w:val="FFFFFF"/>
                <w:sz w:val="18"/>
              </w:rPr>
              <w:t>Metric</w:t>
            </w:r>
          </w:p>
        </w:tc>
        <w:tc>
          <w:tcPr>
            <w:tcW w:type="dxa" w:w="2304"/>
            <w:shd w:val="clear" w:color="auto" w:fill="0D47A1"/>
          </w:tcPr>
          <w:p>
            <w:pPr>
              <w:spacing w:before="60" w:after="60"/>
            </w:pPr>
            <w:r>
              <w:rPr>
                <w:rFonts w:ascii="Calibri" w:hAnsi="Calibri"/>
                <w:b/>
                <w:color w:val="FFFFFF"/>
                <w:sz w:val="18"/>
              </w:rPr>
              <w:t>Demo — Synthetic Data</w:t>
            </w:r>
          </w:p>
        </w:tc>
        <w:tc>
          <w:tcPr>
            <w:tcW w:type="dxa" w:w="2592"/>
            <w:shd w:val="clear" w:color="auto" w:fill="0D47A1"/>
          </w:tcPr>
          <w:p>
            <w:pPr>
              <w:spacing w:before="60" w:after="60"/>
            </w:pPr>
            <w:r>
              <w:rPr>
                <w:rFonts w:ascii="Calibri" w:hAnsi="Calibri"/>
                <w:b/>
                <w:color w:val="FFFFFF"/>
                <w:sz w:val="18"/>
              </w:rPr>
              <w:t>Production — Real Data Estimate</w:t>
            </w:r>
          </w:p>
        </w:tc>
        <w:tc>
          <w:tcPr>
            <w:tcW w:type="dxa" w:w="2736"/>
            <w:shd w:val="clear" w:color="auto" w:fill="0D47A1"/>
          </w:tcPr>
          <w:p>
            <w:pPr>
              <w:spacing w:before="60" w:after="60"/>
            </w:pPr>
            <w:r>
              <w:rPr>
                <w:rFonts w:ascii="Calibri" w:hAnsi="Calibri"/>
                <w:b/>
                <w:color w:val="FFFFFF"/>
                <w:sz w:val="18"/>
              </w:rPr>
              <w:t>Source / Basis</w:t>
            </w:r>
          </w:p>
        </w:tc>
      </w:tr>
      <w:tr>
        <w:tc>
          <w:tcPr>
            <w:tcW w:type="dxa" w:w="2304"/>
            <w:shd w:val="clear" w:color="auto" w:fill="F5F8FD"/>
          </w:tcPr>
          <w:p>
            <w:pPr>
              <w:spacing w:before="40" w:after="40"/>
            </w:pPr>
            <w:r>
              <w:rPr>
                <w:rFonts w:ascii="Calibri" w:hAnsi="Calibri"/>
                <w:b/>
                <w:color w:val="192638"/>
                <w:sz w:val="18"/>
              </w:rPr>
              <w:t>AUC-ROC</w:t>
            </w:r>
          </w:p>
        </w:tc>
        <w:tc>
          <w:tcPr>
            <w:tcW w:type="dxa" w:w="2304"/>
            <w:shd w:val="clear" w:color="auto" w:fill="F5F8FD"/>
          </w:tcPr>
          <w:p>
            <w:pPr>
              <w:spacing w:before="40" w:after="40"/>
            </w:pPr>
            <w:r>
              <w:rPr>
                <w:rFonts w:ascii="Calibri" w:hAnsi="Calibri"/>
                <w:sz w:val="18"/>
              </w:rPr>
              <w:t>~0.78</w:t>
            </w:r>
          </w:p>
        </w:tc>
        <w:tc>
          <w:tcPr>
            <w:tcW w:type="dxa" w:w="2592"/>
            <w:shd w:val="clear" w:color="auto" w:fill="F5F8FD"/>
          </w:tcPr>
          <w:p>
            <w:pPr>
              <w:spacing w:before="40" w:after="40"/>
            </w:pPr>
            <w:r>
              <w:rPr>
                <w:rFonts w:ascii="Calibri" w:hAnsi="Calibri"/>
                <w:sz w:val="18"/>
              </w:rPr>
              <w:t>0.94 – 0.97</w:t>
            </w:r>
          </w:p>
        </w:tc>
        <w:tc>
          <w:tcPr>
            <w:tcW w:type="dxa" w:w="2736"/>
            <w:shd w:val="clear" w:color="auto" w:fill="F5F8FD"/>
          </w:tcPr>
          <w:p>
            <w:pPr>
              <w:spacing w:before="40" w:after="40"/>
            </w:pPr>
            <w:r>
              <w:rPr>
                <w:rFonts w:ascii="Calibri" w:hAnsi="Calibri"/>
                <w:sz w:val="18"/>
              </w:rPr>
              <w:t>Featurespace, Feedzai published benchmarks</w:t>
            </w:r>
          </w:p>
        </w:tc>
      </w:tr>
      <w:tr>
        <w:tc>
          <w:tcPr>
            <w:tcW w:type="dxa" w:w="2304"/>
            <w:shd w:val="clear" w:color="auto" w:fill="FFFFFF"/>
          </w:tcPr>
          <w:p>
            <w:pPr>
              <w:spacing w:before="40" w:after="40"/>
            </w:pPr>
            <w:r>
              <w:rPr>
                <w:rFonts w:ascii="Calibri" w:hAnsi="Calibri"/>
                <w:b/>
                <w:color w:val="192638"/>
                <w:sz w:val="18"/>
              </w:rPr>
              <w:t>Precision (fraud)</w:t>
            </w:r>
          </w:p>
        </w:tc>
        <w:tc>
          <w:tcPr>
            <w:tcW w:type="dxa" w:w="2304"/>
            <w:shd w:val="clear" w:color="auto" w:fill="FFFFFF"/>
          </w:tcPr>
          <w:p>
            <w:pPr>
              <w:spacing w:before="40" w:after="40"/>
            </w:pPr>
            <w:r>
              <w:rPr>
                <w:rFonts w:ascii="Calibri" w:hAnsi="Calibri"/>
                <w:sz w:val="18"/>
              </w:rPr>
              <w:t>~0.65</w:t>
            </w:r>
          </w:p>
        </w:tc>
        <w:tc>
          <w:tcPr>
            <w:tcW w:type="dxa" w:w="2592"/>
            <w:shd w:val="clear" w:color="auto" w:fill="FFFFFF"/>
          </w:tcPr>
          <w:p>
            <w:pPr>
              <w:spacing w:before="40" w:after="40"/>
            </w:pPr>
            <w:r>
              <w:rPr>
                <w:rFonts w:ascii="Calibri" w:hAnsi="Calibri"/>
                <w:sz w:val="18"/>
              </w:rPr>
              <w:t>0.85 – 0.92</w:t>
            </w:r>
          </w:p>
        </w:tc>
        <w:tc>
          <w:tcPr>
            <w:tcW w:type="dxa" w:w="2736"/>
            <w:shd w:val="clear" w:color="auto" w:fill="FFFFFF"/>
          </w:tcPr>
          <w:p>
            <w:pPr>
              <w:spacing w:before="40" w:after="40"/>
            </w:pPr>
            <w:r>
              <w:rPr>
                <w:rFonts w:ascii="Calibri" w:hAnsi="Calibri"/>
                <w:sz w:val="18"/>
              </w:rPr>
              <w:t>Comparable XGBoost fraud deployments</w:t>
            </w:r>
          </w:p>
        </w:tc>
      </w:tr>
      <w:tr>
        <w:tc>
          <w:tcPr>
            <w:tcW w:type="dxa" w:w="2304"/>
            <w:shd w:val="clear" w:color="auto" w:fill="F5F8FD"/>
          </w:tcPr>
          <w:p>
            <w:pPr>
              <w:spacing w:before="40" w:after="40"/>
            </w:pPr>
            <w:r>
              <w:rPr>
                <w:rFonts w:ascii="Calibri" w:hAnsi="Calibri"/>
                <w:b/>
                <w:color w:val="192638"/>
                <w:sz w:val="18"/>
              </w:rPr>
              <w:t>Recall (fraud)</w:t>
            </w:r>
          </w:p>
        </w:tc>
        <w:tc>
          <w:tcPr>
            <w:tcW w:type="dxa" w:w="2304"/>
            <w:shd w:val="clear" w:color="auto" w:fill="F5F8FD"/>
          </w:tcPr>
          <w:p>
            <w:pPr>
              <w:spacing w:before="40" w:after="40"/>
            </w:pPr>
            <w:r>
              <w:rPr>
                <w:rFonts w:ascii="Calibri" w:hAnsi="Calibri"/>
                <w:sz w:val="18"/>
              </w:rPr>
              <w:t>~0.60</w:t>
            </w:r>
          </w:p>
        </w:tc>
        <w:tc>
          <w:tcPr>
            <w:tcW w:type="dxa" w:w="2592"/>
            <w:shd w:val="clear" w:color="auto" w:fill="F5F8FD"/>
          </w:tcPr>
          <w:p>
            <w:pPr>
              <w:spacing w:before="40" w:after="40"/>
            </w:pPr>
            <w:r>
              <w:rPr>
                <w:rFonts w:ascii="Calibri" w:hAnsi="Calibri"/>
                <w:sz w:val="18"/>
              </w:rPr>
              <w:t>0.80 – 0.90</w:t>
            </w:r>
          </w:p>
        </w:tc>
        <w:tc>
          <w:tcPr>
            <w:tcW w:type="dxa" w:w="2736"/>
            <w:shd w:val="clear" w:color="auto" w:fill="F5F8FD"/>
          </w:tcPr>
          <w:p>
            <w:pPr>
              <w:spacing w:before="40" w:after="40"/>
            </w:pPr>
            <w:r>
              <w:rPr>
                <w:rFonts w:ascii="Calibri" w:hAnsi="Calibri"/>
                <w:sz w:val="18"/>
              </w:rPr>
              <w:t>EBA industry survey 2023</w:t>
            </w:r>
          </w:p>
        </w:tc>
      </w:tr>
      <w:tr>
        <w:tc>
          <w:tcPr>
            <w:tcW w:type="dxa" w:w="2304"/>
            <w:shd w:val="clear" w:color="auto" w:fill="FFFFFF"/>
          </w:tcPr>
          <w:p>
            <w:pPr>
              <w:spacing w:before="40" w:after="40"/>
            </w:pPr>
            <w:r>
              <w:rPr>
                <w:rFonts w:ascii="Calibri" w:hAnsi="Calibri"/>
                <w:b/>
                <w:color w:val="192638"/>
                <w:sz w:val="18"/>
              </w:rPr>
              <w:t>False Positive Rate</w:t>
            </w:r>
          </w:p>
        </w:tc>
        <w:tc>
          <w:tcPr>
            <w:tcW w:type="dxa" w:w="2304"/>
            <w:shd w:val="clear" w:color="auto" w:fill="FFFFFF"/>
          </w:tcPr>
          <w:p>
            <w:pPr>
              <w:spacing w:before="40" w:after="40"/>
            </w:pPr>
            <w:r>
              <w:rPr>
                <w:rFonts w:ascii="Calibri" w:hAnsi="Calibri"/>
                <w:sz w:val="18"/>
              </w:rPr>
              <w:t>~8%</w:t>
            </w:r>
          </w:p>
        </w:tc>
        <w:tc>
          <w:tcPr>
            <w:tcW w:type="dxa" w:w="2592"/>
            <w:shd w:val="clear" w:color="auto" w:fill="FFFFFF"/>
          </w:tcPr>
          <w:p>
            <w:pPr>
              <w:spacing w:before="40" w:after="40"/>
            </w:pPr>
            <w:r>
              <w:rPr>
                <w:rFonts w:ascii="Calibri" w:hAnsi="Calibri"/>
                <w:sz w:val="18"/>
              </w:rPr>
              <w:t>1% – 3%</w:t>
            </w:r>
          </w:p>
        </w:tc>
        <w:tc>
          <w:tcPr>
            <w:tcW w:type="dxa" w:w="2736"/>
            <w:shd w:val="clear" w:color="auto" w:fill="FFFFFF"/>
          </w:tcPr>
          <w:p>
            <w:pPr>
              <w:spacing w:before="40" w:after="40"/>
            </w:pPr>
            <w:r>
              <w:rPr>
                <w:rFonts w:ascii="Calibri" w:hAnsi="Calibri"/>
                <w:sz w:val="18"/>
              </w:rPr>
              <w:t>Target for SCA TRA exemption compliance</w:t>
            </w:r>
          </w:p>
        </w:tc>
      </w:tr>
      <w:tr>
        <w:tc>
          <w:tcPr>
            <w:tcW w:type="dxa" w:w="2304"/>
            <w:shd w:val="clear" w:color="auto" w:fill="F5F8FD"/>
          </w:tcPr>
          <w:p>
            <w:pPr>
              <w:spacing w:before="40" w:after="40"/>
            </w:pPr>
            <w:r>
              <w:rPr>
                <w:rFonts w:ascii="Calibri" w:hAnsi="Calibri"/>
                <w:b/>
                <w:color w:val="192638"/>
                <w:sz w:val="18"/>
              </w:rPr>
              <w:t>Avg Inference (CPU)</w:t>
            </w:r>
          </w:p>
        </w:tc>
        <w:tc>
          <w:tcPr>
            <w:tcW w:type="dxa" w:w="2304"/>
            <w:shd w:val="clear" w:color="auto" w:fill="F5F8FD"/>
          </w:tcPr>
          <w:p>
            <w:pPr>
              <w:spacing w:before="40" w:after="40"/>
            </w:pPr>
            <w:r>
              <w:rPr>
                <w:rFonts w:ascii="Calibri" w:hAnsi="Calibri"/>
                <w:sz w:val="18"/>
              </w:rPr>
              <w:t>&lt;1ms</w:t>
            </w:r>
          </w:p>
        </w:tc>
        <w:tc>
          <w:tcPr>
            <w:tcW w:type="dxa" w:w="2592"/>
            <w:shd w:val="clear" w:color="auto" w:fill="F5F8FD"/>
          </w:tcPr>
          <w:p>
            <w:pPr>
              <w:spacing w:before="40" w:after="40"/>
            </w:pPr>
            <w:r>
              <w:rPr>
                <w:rFonts w:ascii="Calibri" w:hAnsi="Calibri"/>
                <w:sz w:val="18"/>
              </w:rPr>
              <w:t>&lt;2ms</w:t>
            </w:r>
          </w:p>
        </w:tc>
        <w:tc>
          <w:tcPr>
            <w:tcW w:type="dxa" w:w="2736"/>
            <w:shd w:val="clear" w:color="auto" w:fill="F5F8FD"/>
          </w:tcPr>
          <w:p>
            <w:pPr>
              <w:spacing w:before="40" w:after="40"/>
            </w:pPr>
            <w:r>
              <w:rPr>
                <w:rFonts w:ascii="Calibri" w:hAnsi="Calibri"/>
                <w:sz w:val="18"/>
              </w:rPr>
              <w:t>XGBoost benchmark on tabular data</w:t>
            </w:r>
          </w:p>
        </w:tc>
      </w:tr>
      <w:tr>
        <w:tc>
          <w:tcPr>
            <w:tcW w:type="dxa" w:w="2304"/>
            <w:shd w:val="clear" w:color="auto" w:fill="FFFFFF"/>
          </w:tcPr>
          <w:p>
            <w:pPr>
              <w:spacing w:before="40" w:after="40"/>
            </w:pPr>
            <w:r>
              <w:rPr>
                <w:rFonts w:ascii="Calibri" w:hAnsi="Calibri"/>
                <w:b/>
                <w:color w:val="192638"/>
                <w:sz w:val="18"/>
              </w:rPr>
              <w:t>Training set size</w:t>
            </w:r>
          </w:p>
        </w:tc>
        <w:tc>
          <w:tcPr>
            <w:tcW w:type="dxa" w:w="2304"/>
            <w:shd w:val="clear" w:color="auto" w:fill="FFFFFF"/>
          </w:tcPr>
          <w:p>
            <w:pPr>
              <w:spacing w:before="40" w:after="40"/>
            </w:pPr>
            <w:r>
              <w:rPr>
                <w:rFonts w:ascii="Calibri" w:hAnsi="Calibri"/>
                <w:sz w:val="18"/>
              </w:rPr>
              <w:t>~1,000 synthetic rows</w:t>
            </w:r>
          </w:p>
        </w:tc>
        <w:tc>
          <w:tcPr>
            <w:tcW w:type="dxa" w:w="2592"/>
            <w:shd w:val="clear" w:color="auto" w:fill="FFFFFF"/>
          </w:tcPr>
          <w:p>
            <w:pPr>
              <w:spacing w:before="40" w:after="40"/>
            </w:pPr>
            <w:r>
              <w:rPr>
                <w:rFonts w:ascii="Calibri" w:hAnsi="Calibri"/>
                <w:sz w:val="18"/>
              </w:rPr>
              <w:t>24,000 – 36,000 labelled fraud cases/year</w:t>
            </w:r>
          </w:p>
        </w:tc>
        <w:tc>
          <w:tcPr>
            <w:tcW w:type="dxa" w:w="2736"/>
            <w:shd w:val="clear" w:color="auto" w:fill="FFFFFF"/>
          </w:tcPr>
          <w:p>
            <w:pPr>
              <w:spacing w:before="40" w:after="40"/>
            </w:pPr>
            <w:r>
              <w:rPr>
                <w:rFonts w:ascii="Calibri" w:hAnsi="Calibri"/>
                <w:sz w:val="18"/>
              </w:rPr>
              <w:t>Albanian banking volume estimate</w:t>
            </w:r>
          </w:p>
        </w:tc>
      </w:tr>
    </w:tbl>
    <w:p/>
    <w:p>
      <w:pPr>
        <w:pStyle w:val="Heading2"/>
        <w:spacing w:before="240" w:after="80"/>
      </w:pPr>
      <w:r>
        <w:t>6.5  What Real Data Adds</w:t>
      </w:r>
    </w:p>
    <w:p>
      <w:pPr>
        <w:spacing w:before="0" w:after="100" w:line="260" w:lineRule="exact"/>
      </w:pPr>
      <w:r>
        <w:rPr>
          <w:rFonts w:ascii="Calibri" w:hAnsi="Calibri"/>
          <w:b w:val="0"/>
          <w:i w:val="0"/>
          <w:sz w:val="20"/>
        </w:rPr>
        <w:t>With 12–24 months of live transaction history, the model gains access to feature classes impossible to simulate:</w:t>
      </w:r>
    </w:p>
    <w:p>
      <w:pPr>
        <w:pStyle w:val="ListBullet"/>
        <w:spacing w:after="60" w:before="0"/>
        <w:ind w:left="432"/>
      </w:pPr>
      <w:r>
        <w:rPr>
          <w:rFonts w:ascii="Calibri" w:hAnsi="Calibri"/>
          <w:b w:val="0"/>
          <w:i w:val="0"/>
          <w:sz w:val="20"/>
        </w:rPr>
        <w:t>Device fingerprint consistency: canvas fingerprint, font metrics, WebGL renderer, battery API patterns — stable per-user, anomalous per-attacker.</w:t>
      </w:r>
    </w:p>
    <w:p>
      <w:pPr>
        <w:pStyle w:val="ListBullet"/>
        <w:spacing w:after="60" w:before="0"/>
        <w:ind w:left="432"/>
      </w:pPr>
      <w:r>
        <w:rPr>
          <w:rFonts w:ascii="Calibri" w:hAnsi="Calibri"/>
          <w:b w:val="0"/>
          <w:i w:val="0"/>
          <w:sz w:val="20"/>
        </w:rPr>
        <w:t>Network-level features: TLS fingerprint (JA3 hash), HTTP/2 priority frame analysis, TCP stack characteristics — difficult to spoof without matching the legitimate device exactly.</w:t>
      </w:r>
    </w:p>
    <w:p>
      <w:pPr>
        <w:pStyle w:val="ListBullet"/>
        <w:spacing w:after="60" w:before="0"/>
        <w:ind w:left="432"/>
      </w:pPr>
      <w:r>
        <w:rPr>
          <w:rFonts w:ascii="Calibri" w:hAnsi="Calibri"/>
          <w:b w:val="0"/>
          <w:i w:val="0"/>
          <w:sz w:val="20"/>
        </w:rPr>
        <w:t>Temporal patterns: fraud at 2–4am, unusual day-of-week, time-since-last-transaction anomalies.</w:t>
      </w:r>
    </w:p>
    <w:p>
      <w:pPr>
        <w:pStyle w:val="ListBullet"/>
        <w:spacing w:after="60" w:before="0"/>
        <w:ind w:left="432"/>
      </w:pPr>
      <w:r>
        <w:rPr>
          <w:rFonts w:ascii="Calibri" w:hAnsi="Calibri"/>
          <w:b w:val="0"/>
          <w:i w:val="0"/>
          <w:sz w:val="20"/>
        </w:rPr>
        <w:t>Graph / network features: recipient account network analysis — mule ring detection via graph neural networks (sender-recipient bipartite graph, community detection).</w:t>
      </w:r>
    </w:p>
    <w:p>
      <w:pPr>
        <w:pStyle w:val="ListBullet"/>
        <w:spacing w:after="60" w:before="0"/>
        <w:ind w:left="432"/>
      </w:pPr>
      <w:r>
        <w:rPr>
          <w:rFonts w:ascii="Calibri" w:hAnsi="Calibri"/>
          <w:b w:val="0"/>
          <w:i w:val="0"/>
          <w:sz w:val="20"/>
        </w:rPr>
        <w:t>Per-user behavioural baseline: each customer's normal typing speed, normal mouse path variance, normal session duration — deviations from personal baseline are more powerful than population-level thresholds.</w:t>
      </w:r>
    </w:p>
    <w:p>
      <w:pPr>
        <w:pStyle w:val="ListBullet"/>
        <w:spacing w:after="60" w:before="0"/>
        <w:ind w:left="432"/>
      </w:pPr>
      <w:r>
        <w:rPr>
          <w:rFonts w:ascii="Calibri" w:hAnsi="Calibri"/>
          <w:b w:val="0"/>
          <w:i w:val="0"/>
          <w:sz w:val="20"/>
        </w:rPr>
        <w:t>Historical payee intelligence: IBAN prefix blacklists, neobank routing code updates, international correspondent bank risk profiles.</w:t>
      </w:r>
    </w:p>
    <w:p>
      <w:r>
        <w:br w:type="page"/>
      </w:r>
    </w:p>
    <w:p>
      <w:pPr>
        <w:pStyle w:val="Heading1"/>
        <w:spacing w:before="360" w:after="120"/>
      </w:pPr>
      <w:r>
        <w:t>7.  Fraud Pattern Analysis — Attack Vector Coverage</w:t>
      </w:r>
    </w:p>
    <w:p>
      <w:pPr>
        <w:pStyle w:val="Heading2"/>
        <w:spacing w:before="240" w:after="80"/>
      </w:pPr>
      <w:r>
        <w:t>7.1  APP Fraud / Vishing (Phone Scam)</w:t>
      </w:r>
    </w:p>
    <w:p>
      <w:pPr>
        <w:spacing w:before="0" w:after="100" w:line="260" w:lineRule="exact"/>
      </w:pPr>
      <w:r>
        <w:rPr>
          <w:rFonts w:ascii="Calibri" w:hAnsi="Calibri"/>
          <w:b w:val="0"/>
          <w:i w:val="0"/>
          <w:sz w:val="20"/>
        </w:rPr>
        <w:t>Attack: A scammer calls the customer impersonating Fibank staff. They create urgency ("your account has been compromised — move your money NOW"), stay on the line, and coach the victim through every step of the transfer.</w:t>
      </w:r>
    </w:p>
    <w:p>
      <w:pPr>
        <w:spacing w:before="0" w:after="100" w:line="260" w:lineRule="exact"/>
      </w:pPr>
      <w:r>
        <w:rPr>
          <w:rFonts w:ascii="Calibri" w:hAnsi="Calibri"/>
          <w:b w:val="0"/>
          <w:i w:val="0"/>
          <w:sz w:val="20"/>
        </w:rPr>
        <w:t>Primary detection signals:</w:t>
      </w:r>
    </w:p>
    <w:p>
      <w:pPr>
        <w:pStyle w:val="ListBullet"/>
        <w:spacing w:after="60" w:before="0"/>
        <w:ind w:left="432"/>
      </w:pPr>
      <w:r>
        <w:rPr>
          <w:rFonts w:ascii="Calibri" w:hAnsi="Calibri"/>
          <w:b/>
          <w:i w:val="0"/>
          <w:sz w:val="20"/>
        </w:rPr>
        <w:t xml:space="preserve">is_in_active_call:  </w:t>
      </w:r>
      <w:r>
        <w:rPr>
          <w:rFonts w:ascii="Calibri" w:hAnsi="Calibri"/>
          <w:b w:val="0"/>
          <w:i w:val="0"/>
          <w:sz w:val="20"/>
        </w:rPr>
        <w:t>is_in_active_call = 1: +0.75 to HIGH tier. The phone call is the defining signal of vishing.</w:t>
      </w:r>
    </w:p>
    <w:p>
      <w:pPr>
        <w:pStyle w:val="ListBullet"/>
        <w:spacing w:after="60" w:before="0"/>
        <w:ind w:left="432"/>
      </w:pPr>
      <w:r>
        <w:rPr>
          <w:rFonts w:ascii="Calibri" w:hAnsi="Calibri"/>
          <w:b/>
          <w:i w:val="0"/>
          <w:sz w:val="20"/>
        </w:rPr>
        <w:t xml:space="preserve">coached_fraud_index:  </w:t>
      </w:r>
      <w:r>
        <w:rPr>
          <w:rFonts w:ascii="Calibri" w:hAnsi="Calibri"/>
          <w:b w:val="0"/>
          <w:i w:val="0"/>
          <w:sz w:val="20"/>
        </w:rPr>
        <w:t>coached_fraud_index: Hesitation patterns — long pauses, repeated backspacing, field re-entry — betray a customer being told what to type.</w:t>
      </w:r>
    </w:p>
    <w:p>
      <w:pPr>
        <w:pStyle w:val="ListBullet"/>
        <w:spacing w:after="60" w:before="0"/>
        <w:ind w:left="432"/>
      </w:pPr>
      <w:r>
        <w:rPr>
          <w:rFonts w:ascii="Calibri" w:hAnsi="Calibri"/>
          <w:b/>
          <w:i w:val="0"/>
          <w:sz w:val="20"/>
        </w:rPr>
        <w:t xml:space="preserve">form_completion_time_sec:  </w:t>
      </w:r>
      <w:r>
        <w:rPr>
          <w:rFonts w:ascii="Calibri" w:hAnsi="Calibri"/>
          <w:b w:val="0"/>
          <w:i w:val="0"/>
          <w:sz w:val="20"/>
        </w:rPr>
        <w:t>form_completion_time_sec: Unusually long for a customer filling the form slowly while listening to instructions.</w:t>
      </w:r>
    </w:p>
    <w:p>
      <w:pPr>
        <w:pStyle w:val="ListBullet"/>
        <w:spacing w:after="60" w:before="0"/>
        <w:ind w:left="432"/>
      </w:pPr>
      <w:r>
        <w:rPr>
          <w:rFonts w:ascii="Calibri" w:hAnsi="Calibri"/>
          <w:b/>
          <w:i w:val="0"/>
          <w:sz w:val="20"/>
        </w:rPr>
        <w:t xml:space="preserve">pages_visited_pre_transfer:  </w:t>
      </w:r>
      <w:r>
        <w:rPr>
          <w:rFonts w:ascii="Calibri" w:hAnsi="Calibri"/>
          <w:b w:val="0"/>
          <w:i w:val="0"/>
          <w:sz w:val="20"/>
        </w:rPr>
        <w:t>pages_visited_pre_transfer = 1: Customer navigated directly to transfer, often via a link the scammer sent.</w:t>
      </w:r>
    </w:p>
    <w:p>
      <w:pPr>
        <w:pStyle w:val="ListBullet"/>
        <w:spacing w:after="60" w:before="0"/>
        <w:ind w:left="432"/>
      </w:pPr>
      <w:r>
        <w:rPr>
          <w:rFonts w:ascii="Calibri" w:hAnsi="Calibri"/>
          <w:b/>
          <w:i w:val="0"/>
          <w:sz w:val="20"/>
        </w:rPr>
        <w:t xml:space="preserve">Unknown neobank payee:  </w:t>
      </w:r>
      <w:r>
        <w:rPr>
          <w:rFonts w:ascii="Calibri" w:hAnsi="Calibri"/>
          <w:b w:val="0"/>
          <w:i w:val="0"/>
          <w:sz w:val="20"/>
        </w:rPr>
        <w:t>is_historical_payee = 0 + is_neobank_routing = 1: Transfer to an unknown neobank account — classic mule routing.</w:t>
      </w:r>
    </w:p>
    <w:p>
      <w:pPr>
        <w:spacing w:before="0" w:after="100" w:line="260" w:lineRule="exact"/>
      </w:pPr>
      <w:r>
        <w:rPr>
          <w:rFonts w:ascii="Calibri" w:hAnsi="Calibri"/>
          <w:b w:val="0"/>
          <w:i w:val="0"/>
          <w:sz w:val="20"/>
        </w:rPr>
        <w:t>System response: At MEDIUM, biometric verification breaks the scammer's script — they cannot approve Face ID or Touch ID remotely. At HIGH, the FIDO code requirement is a hard physical barrier. Even if the scammer coaches the victim to enter a wrong code, the 24-hour lockdown is triggered and the fraud is stopped.</w:t>
      </w:r>
    </w:p>
    <w:p>
      <w:pPr>
        <w:pStyle w:val="Heading2"/>
        <w:spacing w:before="240" w:after="80"/>
      </w:pPr>
      <w:r>
        <w:t>7.2  Phishing / Smishing Link Attack</w:t>
      </w:r>
    </w:p>
    <w:p>
      <w:pPr>
        <w:spacing w:before="0" w:after="100" w:line="260" w:lineRule="exact"/>
      </w:pPr>
      <w:r>
        <w:rPr>
          <w:rFonts w:ascii="Calibri" w:hAnsi="Calibri"/>
          <w:b w:val="0"/>
          <w:i w:val="0"/>
          <w:sz w:val="20"/>
        </w:rPr>
        <w:t>Attack: Victim receives a link via SMS, WhatsApp, or email, disguised as a Fibank notification. The link opens the banking page (or a clone), and the victim attempts a transfer from this session.</w:t>
      </w:r>
    </w:p>
    <w:p>
      <w:pPr>
        <w:spacing w:before="0" w:after="100" w:line="260" w:lineRule="exact"/>
      </w:pPr>
      <w:r>
        <w:rPr>
          <w:rFonts w:ascii="Calibri" w:hAnsi="Calibri"/>
          <w:b w:val="0"/>
          <w:i w:val="0"/>
          <w:sz w:val="20"/>
        </w:rPr>
        <w:t>Primary detection signals:</w:t>
      </w:r>
    </w:p>
    <w:p>
      <w:pPr>
        <w:pStyle w:val="ListBullet"/>
        <w:spacing w:after="60" w:before="0"/>
        <w:ind w:left="432"/>
      </w:pPr>
      <w:r>
        <w:rPr>
          <w:rFonts w:ascii="Calibri" w:hAnsi="Calibri"/>
          <w:b/>
          <w:i w:val="0"/>
          <w:sz w:val="20"/>
        </w:rPr>
        <w:t xml:space="preserve">session_from_link:  </w:t>
      </w:r>
      <w:r>
        <w:rPr>
          <w:rFonts w:ascii="Calibri" w:hAnsi="Calibri"/>
          <w:b w:val="0"/>
          <w:i w:val="0"/>
          <w:sz w:val="20"/>
        </w:rPr>
        <w:t>session_from_link = 1: +2.00 to HIGH tier. This single signal is the most powerful in the engine — it immediately adds 2 points to the risk score.</w:t>
      </w:r>
    </w:p>
    <w:p>
      <w:pPr>
        <w:pStyle w:val="ListBullet"/>
        <w:spacing w:after="60" w:before="0"/>
        <w:ind w:left="432"/>
      </w:pPr>
      <w:r>
        <w:rPr>
          <w:rFonts w:ascii="Calibri" w:hAnsi="Calibri"/>
          <w:b/>
          <w:i w:val="0"/>
          <w:sz w:val="20"/>
        </w:rPr>
        <w:t xml:space="preserve">Direct navigation:  </w:t>
      </w:r>
      <w:r>
        <w:rPr>
          <w:rFonts w:ascii="Calibri" w:hAnsi="Calibri"/>
          <w:b w:val="0"/>
          <w:i w:val="0"/>
          <w:sz w:val="20"/>
        </w:rPr>
        <w:t>pages_visited_pre_transfer = 1: Opened directly to transfer, no natural browsing.</w:t>
      </w:r>
    </w:p>
    <w:p>
      <w:pPr>
        <w:pStyle w:val="ListBullet"/>
        <w:spacing w:after="60" w:before="0"/>
        <w:ind w:left="432"/>
      </w:pPr>
      <w:r>
        <w:rPr>
          <w:rFonts w:ascii="Calibri" w:hAnsi="Calibri"/>
          <w:b/>
          <w:i w:val="0"/>
          <w:sz w:val="20"/>
        </w:rPr>
        <w:t xml:space="preserve">unknown_iban:  </w:t>
      </w:r>
      <w:r>
        <w:rPr>
          <w:rFonts w:ascii="Calibri" w:hAnsi="Calibri"/>
          <w:b w:val="0"/>
          <w:i w:val="0"/>
          <w:sz w:val="20"/>
        </w:rPr>
        <w:t>unknown_iban = 1: IBAN was typed or pasted, not selected from the address book.</w:t>
      </w:r>
    </w:p>
    <w:p>
      <w:pPr>
        <w:pStyle w:val="ListBullet"/>
        <w:spacing w:after="60" w:before="0"/>
        <w:ind w:left="432"/>
      </w:pPr>
      <w:r>
        <w:rPr>
          <w:rFonts w:ascii="Calibri" w:hAnsi="Calibri"/>
          <w:b/>
          <w:i w:val="0"/>
          <w:sz w:val="20"/>
        </w:rPr>
        <w:t xml:space="preserve">tab_switched:  </w:t>
      </w:r>
      <w:r>
        <w:rPr>
          <w:rFonts w:ascii="Calibri" w:hAnsi="Calibri"/>
          <w:b w:val="0"/>
          <w:i w:val="0"/>
          <w:sz w:val="20"/>
        </w:rPr>
        <w:t>tab_switched: Switching between the phishing link tab and the banking tab.</w:t>
      </w:r>
    </w:p>
    <w:p>
      <w:pPr>
        <w:spacing w:before="0" w:after="100" w:line="260" w:lineRule="exact"/>
      </w:pPr>
      <w:r>
        <w:rPr>
          <w:rFonts w:ascii="Calibri" w:hAnsi="Calibri"/>
          <w:b w:val="0"/>
          <w:i w:val="0"/>
          <w:sz w:val="20"/>
        </w:rPr>
        <w:t>Real implementation: On iOS, tapping a link in Messages opens the Fibank app via Universal Link. The app's AppDelegate receives the originating URL and immediately calls /api/report-referrer before any UI renders. On Android, the Intent referrer is read in onCreate(). In a browser context, document.referrer captures the source URL, and ?from=sms / ?from=email URL parameters provide explicit origin tagging from the phishing link itself.</w:t>
      </w:r>
    </w:p>
    <w:p>
      <w:pPr>
        <w:pStyle w:val="Heading2"/>
        <w:spacing w:before="240" w:after="80"/>
      </w:pPr>
      <w:r>
        <w:t>7.3  Remote Access / Account Takeover</w:t>
      </w:r>
    </w:p>
    <w:p>
      <w:pPr>
        <w:spacing w:before="0" w:after="100" w:line="260" w:lineRule="exact"/>
      </w:pPr>
      <w:r>
        <w:rPr>
          <w:rFonts w:ascii="Calibri" w:hAnsi="Calibri"/>
          <w:b w:val="0"/>
          <w:i w:val="0"/>
          <w:sz w:val="20"/>
        </w:rPr>
        <w:t>Attack: Scammer convinces victim to install AnyDesk or TeamViewer under a pretext ("we need to fix your account"). Takes full remote control of the victim's device and initiates transfers directly.</w:t>
      </w:r>
    </w:p>
    <w:p>
      <w:pPr>
        <w:spacing w:before="0" w:after="100" w:line="260" w:lineRule="exact"/>
      </w:pPr>
      <w:r>
        <w:rPr>
          <w:rFonts w:ascii="Calibri" w:hAnsi="Calibri"/>
          <w:b w:val="0"/>
          <w:i w:val="0"/>
          <w:sz w:val="20"/>
        </w:rPr>
        <w:t>Primary detection signals:</w:t>
      </w:r>
    </w:p>
    <w:p>
      <w:pPr>
        <w:pStyle w:val="ListBullet"/>
        <w:spacing w:after="60" w:before="0"/>
        <w:ind w:left="432"/>
      </w:pPr>
      <w:r>
        <w:rPr>
          <w:rFonts w:ascii="Calibri" w:hAnsi="Calibri"/>
          <w:b/>
          <w:i w:val="0"/>
          <w:sz w:val="20"/>
        </w:rPr>
        <w:t xml:space="preserve">remote_access_app_detected:  </w:t>
      </w:r>
      <w:r>
        <w:rPr>
          <w:rFonts w:ascii="Calibri" w:hAnsi="Calibri"/>
          <w:b w:val="0"/>
          <w:i w:val="0"/>
          <w:sz w:val="20"/>
        </w:rPr>
        <w:t>remote_access_app_detected = 1: +1.00 HIGH tier. AnyDesk/TeamViewer package detected on device.</w:t>
      </w:r>
    </w:p>
    <w:p>
      <w:pPr>
        <w:pStyle w:val="ListBullet"/>
        <w:spacing w:after="60" w:before="0"/>
        <w:ind w:left="432"/>
      </w:pPr>
      <w:r>
        <w:rPr>
          <w:rFonts w:ascii="Calibri" w:hAnsi="Calibri"/>
          <w:b/>
          <w:i w:val="0"/>
          <w:sz w:val="20"/>
        </w:rPr>
        <w:t xml:space="preserve">is_screensharing_active:  </w:t>
      </w:r>
      <w:r>
        <w:rPr>
          <w:rFonts w:ascii="Calibri" w:hAnsi="Calibri"/>
          <w:b w:val="0"/>
          <w:i w:val="0"/>
          <w:sz w:val="20"/>
        </w:rPr>
        <w:t>is_screensharing_active = 1: +1.00 HIGH tier. Screen capture in progress.</w:t>
      </w:r>
    </w:p>
    <w:p>
      <w:pPr>
        <w:pStyle w:val="ListBullet"/>
        <w:spacing w:after="60" w:before="0"/>
        <w:ind w:left="432"/>
      </w:pPr>
      <w:r>
        <w:rPr>
          <w:rFonts w:ascii="Calibri" w:hAnsi="Calibri"/>
          <w:b/>
          <w:i w:val="0"/>
          <w:sz w:val="20"/>
        </w:rPr>
        <w:t xml:space="preserve">mouse_linearity_score:  </w:t>
      </w:r>
      <w:r>
        <w:rPr>
          <w:rFonts w:ascii="Calibri" w:hAnsi="Calibri"/>
          <w:b w:val="0"/>
          <w:i w:val="0"/>
          <w:sz w:val="20"/>
        </w:rPr>
        <w:t>mouse_linearity_score high: Robotic, perfectly linear mouse movement from the remote operator.</w:t>
      </w:r>
    </w:p>
    <w:p>
      <w:pPr>
        <w:spacing w:before="0" w:after="100" w:line="260" w:lineRule="exact"/>
      </w:pPr>
      <w:r>
        <w:rPr>
          <w:rFonts w:ascii="Calibri" w:hAnsi="Calibri"/>
          <w:b w:val="0"/>
          <w:i w:val="0"/>
          <w:sz w:val="20"/>
        </w:rPr>
        <w:t>Combination effect: remote_access + screensharing alone = (0.40 + 0.40) × 2.5 = 2.0 added to base of 1.0 → score of 3.0+ immediately at MEDIUM. Add mouse linearity &gt; 0.5 → MEDIUM confirmed. Add any third signal → HIGH lockdown triggered before any funds move.</w:t>
      </w:r>
    </w:p>
    <w:p>
      <w:pPr>
        <w:pStyle w:val="Heading2"/>
        <w:spacing w:before="240" w:after="80"/>
      </w:pPr>
      <w:r>
        <w:t>7.4  Bot / Automated Account Drain</w:t>
      </w:r>
    </w:p>
    <w:p>
      <w:pPr>
        <w:spacing w:before="0" w:after="100" w:line="260" w:lineRule="exact"/>
      </w:pPr>
      <w:r>
        <w:rPr>
          <w:rFonts w:ascii="Calibri" w:hAnsi="Calibri"/>
          <w:b w:val="0"/>
          <w:i w:val="0"/>
          <w:sz w:val="20"/>
        </w:rPr>
        <w:t>Attack: Credential-stuffed accounts attacked by automated scripts. The bot logs in, navigates directly to transfer, and initiates a maximum transfer to a mule account, all within seconds.</w:t>
      </w:r>
    </w:p>
    <w:p>
      <w:pPr>
        <w:spacing w:before="0" w:after="100" w:line="260" w:lineRule="exact"/>
      </w:pPr>
      <w:r>
        <w:rPr>
          <w:rFonts w:ascii="Calibri" w:hAnsi="Calibri"/>
          <w:b w:val="0"/>
          <w:i w:val="0"/>
          <w:sz w:val="20"/>
        </w:rPr>
        <w:t>Primary detection signals:</w:t>
      </w:r>
    </w:p>
    <w:p>
      <w:pPr>
        <w:pStyle w:val="ListBullet"/>
        <w:spacing w:after="60" w:before="0"/>
        <w:ind w:left="432"/>
      </w:pPr>
      <w:r>
        <w:rPr>
          <w:rFonts w:ascii="Calibri" w:hAnsi="Calibri"/>
          <w:b/>
          <w:i w:val="0"/>
          <w:sz w:val="20"/>
        </w:rPr>
        <w:t xml:space="preserve">Automated environment:  </w:t>
      </w:r>
      <w:r>
        <w:rPr>
          <w:rFonts w:ascii="Calibri" w:hAnsi="Calibri"/>
          <w:b w:val="0"/>
          <w:i w:val="0"/>
          <w:sz w:val="20"/>
        </w:rPr>
        <w:t>is_vm_or_emulator = 1 + webdriver_detected = 1: Bot environment detected.</w:t>
      </w:r>
    </w:p>
    <w:p>
      <w:pPr>
        <w:pStyle w:val="ListBullet"/>
        <w:spacing w:after="60" w:before="0"/>
        <w:ind w:left="432"/>
      </w:pPr>
      <w:r>
        <w:rPr>
          <w:rFonts w:ascii="Calibri" w:hAnsi="Calibri"/>
          <w:b/>
          <w:i w:val="0"/>
          <w:sz w:val="20"/>
        </w:rPr>
        <w:t xml:space="preserve">bot_agility_index:  </w:t>
      </w:r>
      <w:r>
        <w:rPr>
          <w:rFonts w:ascii="Calibri" w:hAnsi="Calibri"/>
          <w:b w:val="0"/>
          <w:i w:val="0"/>
          <w:sz w:val="20"/>
        </w:rPr>
        <w:t>bot_agility_index = 1: Interaction too precise — sub-millisecond timing, no human hesitation.</w:t>
      </w:r>
    </w:p>
    <w:p>
      <w:pPr>
        <w:pStyle w:val="ListBullet"/>
        <w:spacing w:after="60" w:before="0"/>
        <w:ind w:left="432"/>
      </w:pPr>
      <w:r>
        <w:rPr>
          <w:rFonts w:ascii="Calibri" w:hAnsi="Calibri"/>
          <w:b/>
          <w:i w:val="0"/>
          <w:sz w:val="20"/>
        </w:rPr>
        <w:t xml:space="preserve">Behavioural biometrics:  </w:t>
      </w:r>
      <w:r>
        <w:rPr>
          <w:rFonts w:ascii="Calibri" w:hAnsi="Calibri"/>
          <w:b w:val="0"/>
          <w:i w:val="0"/>
          <w:sz w:val="20"/>
        </w:rPr>
        <w:t>typing_cadence_score → 1.0 + mouse_linearity_score → 1.0: Perfect uniformity impossible for humans.</w:t>
      </w:r>
    </w:p>
    <w:p>
      <w:pPr>
        <w:pStyle w:val="ListBullet"/>
        <w:spacing w:after="60" w:before="0"/>
        <w:ind w:left="432"/>
      </w:pPr>
      <w:r>
        <w:rPr>
          <w:rFonts w:ascii="Calibri" w:hAnsi="Calibri"/>
          <w:b/>
          <w:i w:val="0"/>
          <w:sz w:val="20"/>
        </w:rPr>
        <w:t xml:space="preserve">Session timing:  </w:t>
      </w:r>
      <w:r>
        <w:rPr>
          <w:rFonts w:ascii="Calibri" w:hAnsi="Calibri"/>
          <w:b w:val="0"/>
          <w:i w:val="0"/>
          <w:sz w:val="20"/>
        </w:rPr>
        <w:t>time_login_to_transfer_sec → 0: Near-instant navigation from login to transfer.</w:t>
      </w:r>
    </w:p>
    <w:p>
      <w:pPr>
        <w:spacing w:before="0" w:after="100" w:line="260" w:lineRule="exact"/>
      </w:pPr>
      <w:r>
        <w:rPr>
          <w:rFonts w:ascii="Calibri" w:hAnsi="Calibri"/>
          <w:b w:val="0"/>
          <w:i w:val="0"/>
          <w:sz w:val="20"/>
        </w:rPr>
        <w:t>Three HIGH-tier signals immediately produce score &gt; 7.0. Lockdown triggered before any funds move. The FIDO code requirement stops the bot cold — it cannot know the physical key code.</w:t>
      </w:r>
    </w:p>
    <w:p>
      <w:pPr>
        <w:pStyle w:val="Heading2"/>
        <w:spacing w:before="240" w:after="80"/>
      </w:pPr>
      <w:r>
        <w:t>7.5  Money Mule Detection</w:t>
      </w:r>
    </w:p>
    <w:p>
      <w:pPr>
        <w:spacing w:before="0" w:after="100" w:line="260" w:lineRule="exact"/>
      </w:pPr>
      <w:r>
        <w:rPr>
          <w:rFonts w:ascii="Calibri" w:hAnsi="Calibri"/>
          <w:b w:val="0"/>
          <w:i w:val="0"/>
          <w:sz w:val="20"/>
        </w:rPr>
        <w:t>Attack: A compromised account holder (knowingly or unknowingly) receives fraudulent funds and immediately forwards them to layering accounts.</w:t>
      </w:r>
    </w:p>
    <w:p>
      <w:pPr>
        <w:pStyle w:val="ListBullet"/>
        <w:spacing w:after="60" w:before="0"/>
        <w:ind w:left="432"/>
      </w:pPr>
      <w:r>
        <w:rPr>
          <w:rFonts w:ascii="Calibri" w:hAnsi="Calibri"/>
          <w:b/>
          <w:i w:val="0"/>
          <w:sz w:val="20"/>
        </w:rPr>
        <w:t xml:space="preserve">is_neobank_routing:  </w:t>
      </w:r>
      <w:r>
        <w:rPr>
          <w:rFonts w:ascii="Calibri" w:hAnsi="Calibri"/>
          <w:b w:val="0"/>
          <w:i w:val="0"/>
          <w:sz w:val="20"/>
        </w:rPr>
        <w:t>is_neobank_routing = 1: Neobanks (Revolut, Wise) are disproportionately used as first-hop mule accounts due to rapid onboarding and high transfer limits.</w:t>
      </w:r>
    </w:p>
    <w:p>
      <w:pPr>
        <w:pStyle w:val="ListBullet"/>
        <w:spacing w:after="60" w:before="0"/>
        <w:ind w:left="432"/>
      </w:pPr>
      <w:r>
        <w:rPr>
          <w:rFonts w:ascii="Calibri" w:hAnsi="Calibri"/>
          <w:b/>
          <w:i w:val="0"/>
          <w:sz w:val="20"/>
        </w:rPr>
        <w:t xml:space="preserve">payee_account_age_hours:  </w:t>
      </w:r>
      <w:r>
        <w:rPr>
          <w:rFonts w:ascii="Calibri" w:hAnsi="Calibri"/>
          <w:b w:val="0"/>
          <w:i w:val="0"/>
          <w:sz w:val="20"/>
        </w:rPr>
        <w:t>payee_account_age_hours &lt; 48: Freshly opened mule account — the most powerful mule signal. In the rule engine this manifests as is_historical_payee = 0.</w:t>
      </w:r>
    </w:p>
    <w:p>
      <w:pPr>
        <w:pStyle w:val="ListBullet"/>
        <w:spacing w:after="60" w:before="0"/>
        <w:ind w:left="432"/>
      </w:pPr>
      <w:r>
        <w:rPr>
          <w:rFonts w:ascii="Calibri" w:hAnsi="Calibri"/>
          <w:b/>
          <w:i w:val="0"/>
          <w:sz w:val="20"/>
        </w:rPr>
        <w:t xml:space="preserve">transfer_intensity:  </w:t>
      </w:r>
      <w:r>
        <w:rPr>
          <w:rFonts w:ascii="Calibri" w:hAnsi="Calibri"/>
          <w:b w:val="0"/>
          <w:i w:val="0"/>
          <w:sz w:val="20"/>
        </w:rPr>
        <w:t>transfer_intensity &gt; 5: Transfer amount far above this customer's historical average.</w:t>
      </w:r>
    </w:p>
    <w:p>
      <w:pPr>
        <w:pStyle w:val="ListBullet"/>
        <w:spacing w:after="60" w:before="0"/>
        <w:ind w:left="432"/>
      </w:pPr>
      <w:r>
        <w:rPr>
          <w:rFonts w:ascii="Calibri" w:hAnsi="Calibri"/>
          <w:b/>
          <w:i w:val="0"/>
          <w:sz w:val="20"/>
        </w:rPr>
        <w:t xml:space="preserve">transfers_past_24h:  </w:t>
      </w:r>
      <w:r>
        <w:rPr>
          <w:rFonts w:ascii="Calibri" w:hAnsi="Calibri"/>
          <w:b w:val="0"/>
          <w:i w:val="0"/>
          <w:sz w:val="20"/>
        </w:rPr>
        <w:t>transfers_past_24h &gt; 3: Multiple transfers in 24 hours — structuring pattern.</w:t>
      </w:r>
    </w:p>
    <w:p>
      <w:r>
        <w:br w:type="page"/>
      </w:r>
    </w:p>
    <w:p>
      <w:pPr>
        <w:pStyle w:val="Heading1"/>
        <w:spacing w:before="360" w:after="120"/>
      </w:pPr>
      <w:r>
        <w:t>8.  Real-World Implementation</w:t>
      </w:r>
    </w:p>
    <w:p>
      <w:pPr>
        <w:pStyle w:val="Heading2"/>
        <w:spacing w:before="240" w:after="80"/>
      </w:pPr>
      <w:r>
        <w:t>8.1  Mobile App Integration — iOS &amp; Android</w:t>
      </w:r>
    </w:p>
    <w:p>
      <w:pPr>
        <w:spacing w:before="0" w:after="100" w:line="260" w:lineRule="exact"/>
      </w:pPr>
      <w:r>
        <w:rPr>
          <w:rFonts w:ascii="Calibri" w:hAnsi="Calibri"/>
          <w:b w:val="0"/>
          <w:i w:val="0"/>
          <w:sz w:val="20"/>
        </w:rPr>
        <w:t>The demo runs in a browser with simulated signals. A production Fibank mobile app built in React Native (or native Swift/Kotlin) would collect the same signals with higher fidelity and lower latency, using native device APIs unavailable to browsers.</w:t>
      </w:r>
    </w:p>
    <w:p>
      <w:pPr>
        <w:pStyle w:val="Heading3"/>
        <w:spacing w:before="160" w:after="60"/>
      </w:pPr>
      <w:r>
        <w:t>8.1.1  Active Call Detection</w:t>
      </w:r>
    </w:p>
    <w:p>
      <w:pPr>
        <w:spacing w:before="0" w:after="100" w:line="260" w:lineRule="exact"/>
      </w:pPr>
      <w:r>
        <w:rPr>
          <w:rFonts w:ascii="Calibri" w:hAnsi="Calibri"/>
          <w:b w:val="0"/>
          <w:i w:val="0"/>
          <w:sz w:val="20"/>
        </w:rPr>
        <w:t>iOS — Swift (via React Native native module or react-native-callkeep):</w:t>
      </w:r>
    </w:p>
    <w:p>
      <w:pPr>
        <w:spacing w:before="80" w:after="80"/>
        <w:ind w:left="576"/>
        <w:shd w:val="clear" w:color="auto" w:fill="F0F4F8"/>
      </w:pPr>
      <w:r>
        <w:rPr>
          <w:rFonts w:ascii="Courier New" w:hAnsi="Courier New"/>
          <w:color w:val="0D3B8A"/>
          <w:sz w:val="17"/>
        </w:rPr>
        <w:t>import CallKit</w:t>
        <w:br/>
        <w:t>let callObserver = CXCallObserver()</w:t>
        <w:br/>
        <w:t>callObserver.setDelegate(self, queue: nil)</w:t>
        <w:br/>
        <w:br/>
        <w:t>func callObserver(_ callObserver: CXCallObserver, callChanged call: CXCall) {</w:t>
        <w:br/>
        <w:t xml:space="preserve">    let isInCall = !call.hasEnded &amp;&amp; call.hasConnected</w:t>
        <w:br/>
        <w:t xml:space="preserve">    FibankRiskEngine.shared.report(.activeCall(isInCall))</w:t>
        <w:br/>
        <w:t>}</w:t>
      </w:r>
    </w:p>
    <w:p>
      <w:pPr>
        <w:spacing w:before="0" w:after="100" w:line="260" w:lineRule="exact"/>
      </w:pPr>
      <w:r>
        <w:rPr>
          <w:rFonts w:ascii="Calibri" w:hAnsi="Calibri"/>
          <w:b w:val="0"/>
          <w:i w:val="0"/>
          <w:sz w:val="20"/>
        </w:rPr>
        <w:t>Android — Kotlin:</w:t>
      </w:r>
    </w:p>
    <w:p>
      <w:pPr>
        <w:spacing w:before="80" w:after="80"/>
        <w:ind w:left="576"/>
        <w:shd w:val="clear" w:color="auto" w:fill="F0F4F8"/>
      </w:pPr>
      <w:r>
        <w:rPr>
          <w:rFonts w:ascii="Courier New" w:hAnsi="Courier New"/>
          <w:color w:val="0D3B8A"/>
          <w:sz w:val="17"/>
        </w:rPr>
        <w:t>val telecomManager = getSystemService(Context.TELECOM_SERVICE) as TelecomManager</w:t>
        <w:br/>
        <w:t>val isInCall = telecomManager.isInCall</w:t>
        <w:br/>
        <w:t>// Requires READ_PHONE_STATE permission (normal permission, not dangerous)</w:t>
        <w:br/>
        <w:t>// Alternative: PhoneStateListener.LISTEN_CALL_STATE</w:t>
      </w:r>
    </w:p>
    <w:p>
      <w:pPr>
        <w:pStyle w:val="Heading3"/>
        <w:spacing w:before="160" w:after="60"/>
      </w:pPr>
      <w:r>
        <w:t>8.1.2  Screen Sharing / Capture Detection</w:t>
      </w:r>
    </w:p>
    <w:p>
      <w:pPr>
        <w:spacing w:before="0" w:after="100" w:line="260" w:lineRule="exact"/>
      </w:pPr>
      <w:r>
        <w:rPr>
          <w:rFonts w:ascii="Calibri" w:hAnsi="Calibri"/>
          <w:b w:val="0"/>
          <w:i w:val="0"/>
          <w:sz w:val="20"/>
        </w:rPr>
        <w:t>iOS — Swift:</w:t>
      </w:r>
    </w:p>
    <w:p>
      <w:pPr>
        <w:spacing w:before="80" w:after="80"/>
        <w:ind w:left="576"/>
        <w:shd w:val="clear" w:color="auto" w:fill="F0F4F8"/>
      </w:pPr>
      <w:r>
        <w:rPr>
          <w:rFonts w:ascii="Courier New" w:hAnsi="Courier New"/>
          <w:color w:val="0D3B8A"/>
          <w:sz w:val="17"/>
        </w:rPr>
        <w:t>NotificationCenter.default.addObserver(</w:t>
        <w:br/>
        <w:t xml:space="preserve">    forName: UIScreen.capturedDidChangeNotification,</w:t>
        <w:br/>
        <w:t xml:space="preserve">    object: nil, queue: .main</w:t>
        <w:br/>
        <w:t>) { _ in</w:t>
        <w:br/>
        <w:t xml:space="preserve">    let isCapturing = UIScreen.main.isCaptured  // iOS 11+</w:t>
        <w:br/>
        <w:t xml:space="preserve">    FibankRiskEngine.shared.report(.screenCapture(isCapturing))</w:t>
        <w:br/>
        <w:t>}</w:t>
      </w:r>
    </w:p>
    <w:p>
      <w:pPr>
        <w:spacing w:before="0" w:after="100" w:line="260" w:lineRule="exact"/>
      </w:pPr>
      <w:r>
        <w:rPr>
          <w:rFonts w:ascii="Calibri" w:hAnsi="Calibri"/>
          <w:b w:val="0"/>
          <w:i w:val="0"/>
          <w:sz w:val="20"/>
        </w:rPr>
        <w:t>Android: MediaProjectionManager — if an active MediaProjection session exists, the screen is being captured. AnyDesk and TeamViewer both use this API, making them detectable via this method.</w:t>
      </w:r>
    </w:p>
    <w:p>
      <w:pPr>
        <w:pStyle w:val="Heading3"/>
        <w:spacing w:before="160" w:after="60"/>
      </w:pPr>
      <w:r>
        <w:t>8.1.3  Remote Access App Detection</w:t>
      </w:r>
    </w:p>
    <w:p>
      <w:pPr>
        <w:spacing w:before="0" w:after="100" w:line="260" w:lineRule="exact"/>
      </w:pPr>
      <w:r>
        <w:rPr>
          <w:rFonts w:ascii="Calibri" w:hAnsi="Calibri"/>
          <w:b w:val="0"/>
          <w:i w:val="0"/>
          <w:sz w:val="20"/>
        </w:rPr>
        <w:t>Android — package manager query for known RAT packages:</w:t>
      </w:r>
    </w:p>
    <w:p>
      <w:pPr>
        <w:spacing w:before="80" w:after="80"/>
        <w:ind w:left="576"/>
        <w:shd w:val="clear" w:color="auto" w:fill="F0F4F8"/>
      </w:pPr>
      <w:r>
        <w:rPr>
          <w:rFonts w:ascii="Courier New" w:hAnsi="Courier New"/>
          <w:color w:val="0D3B8A"/>
          <w:sz w:val="17"/>
        </w:rPr>
        <w:t>val dangerousPackages = listOf(</w:t>
        <w:br/>
        <w:t xml:space="preserve">    "com.anydesk.anydeskandroid",</w:t>
        <w:br/>
        <w:t xml:space="preserve">    "com.teamviewer.host.market",</w:t>
        <w:br/>
        <w:t xml:space="preserve">    "com.realvnc.viewer.android",</w:t>
        <w:br/>
        <w:t xml:space="preserve">    "net.christianbeier.droidvnc_ng",</w:t>
        <w:br/>
        <w:t xml:space="preserve">    "com.logmein.rescue.agent"</w:t>
        <w:br/>
        <w:t>)</w:t>
        <w:br/>
        <w:t>val installed = dangerousPackages.filter {</w:t>
        <w:br/>
        <w:t xml:space="preserve">    try { packageManager.getPackageInfo(it, 0); true }</w:t>
        <w:br/>
        <w:t xml:space="preserve">    catch (e: PackageManager.NameNotFoundException) { false }</w:t>
        <w:br/>
        <w:t>}</w:t>
      </w:r>
    </w:p>
    <w:p>
      <w:pPr>
        <w:spacing w:before="0" w:after="100" w:line="260" w:lineRule="exact"/>
      </w:pPr>
      <w:r>
        <w:rPr>
          <w:rFonts w:ascii="Calibri" w:hAnsi="Calibri"/>
          <w:b w:val="0"/>
          <w:i w:val="0"/>
          <w:sz w:val="20"/>
        </w:rPr>
        <w:t>iOS: Full app inventory is restricted. Detection relies on URL scheme probing (anydesk://, teamviewer://), clipboard content analysis for TeamViewer session codes, and accessibility service activity monitoring.</w:t>
      </w:r>
    </w:p>
    <w:p>
      <w:pPr>
        <w:pStyle w:val="Heading3"/>
        <w:spacing w:before="160" w:after="60"/>
      </w:pPr>
      <w:r>
        <w:t>8.1.4  Session-from-Link in Mobile Apps</w:t>
      </w:r>
    </w:p>
    <w:p>
      <w:pPr>
        <w:spacing w:before="0" w:after="100" w:line="260" w:lineRule="exact"/>
      </w:pPr>
      <w:r>
        <w:rPr>
          <w:rFonts w:ascii="Calibri" w:hAnsi="Calibri"/>
          <w:b w:val="0"/>
          <w:i w:val="0"/>
          <w:sz w:val="20"/>
        </w:rPr>
        <w:t>The session_from_link signal is detected the moment the app opens, before any UI renders:</w:t>
      </w:r>
    </w:p>
    <w:p>
      <w:pPr>
        <w:pStyle w:val="ListBullet"/>
        <w:spacing w:after="60" w:before="0"/>
        <w:ind w:left="432"/>
      </w:pPr>
      <w:r>
        <w:rPr>
          <w:rFonts w:ascii="Calibri" w:hAnsi="Calibri"/>
          <w:b/>
          <w:i w:val="0"/>
          <w:sz w:val="20"/>
        </w:rPr>
        <w:t xml:space="preserve">iOS:  </w:t>
      </w:r>
      <w:r>
        <w:rPr>
          <w:rFonts w:ascii="Calibri" w:hAnsi="Calibri"/>
          <w:b w:val="0"/>
          <w:i w:val="0"/>
          <w:sz w:val="20"/>
        </w:rPr>
        <w:t>iOS Universal Link: AppDelegate.application(_:continue:restorationHandler:) receives the originating URL via NSUserActivity.webpageURL. The app immediately calls /api/report-referrer.</w:t>
      </w:r>
    </w:p>
    <w:p>
      <w:pPr>
        <w:pStyle w:val="ListBullet"/>
        <w:spacing w:after="60" w:before="0"/>
        <w:ind w:left="432"/>
      </w:pPr>
      <w:r>
        <w:rPr>
          <w:rFonts w:ascii="Calibri" w:hAnsi="Calibri"/>
          <w:b/>
          <w:i w:val="0"/>
          <w:sz w:val="20"/>
        </w:rPr>
        <w:t xml:space="preserve">Android:  </w:t>
      </w:r>
      <w:r>
        <w:rPr>
          <w:rFonts w:ascii="Calibri" w:hAnsi="Calibri"/>
          <w:b w:val="0"/>
          <w:i w:val="0"/>
          <w:sz w:val="20"/>
        </w:rPr>
        <w:t>Android App Link: The Activity's onCreate() reads Intent.data. The app checks for external referrer parameters and calls /api/report-referrer.</w:t>
      </w:r>
    </w:p>
    <w:p>
      <w:pPr>
        <w:pStyle w:val="ListBullet"/>
        <w:spacing w:after="60" w:before="0"/>
        <w:ind w:left="432"/>
      </w:pPr>
      <w:r>
        <w:rPr>
          <w:rFonts w:ascii="Calibri" w:hAnsi="Calibri"/>
          <w:b/>
          <w:i w:val="0"/>
          <w:sz w:val="20"/>
        </w:rPr>
        <w:t xml:space="preserve">Browser:  </w:t>
      </w:r>
      <w:r>
        <w:rPr>
          <w:rFonts w:ascii="Calibri" w:hAnsi="Calibri"/>
          <w:b w:val="0"/>
          <w:i w:val="0"/>
          <w:sz w:val="20"/>
        </w:rPr>
        <w:t>Browser: document.referrer captures the source URL. URL params ?from=sms and ?from=email provide explicit tagging from the phishing link itself. The checkSessionSource() function fires before DOMContentLoaded.</w:t>
      </w:r>
    </w:p>
    <w:p>
      <w:pPr>
        <w:pStyle w:val="Heading3"/>
        <w:spacing w:before="160" w:after="60"/>
      </w:pPr>
      <w:r>
        <w:t>8.1.5  Biometric Authentication — Production WebAuthn Flow</w:t>
      </w:r>
    </w:p>
    <w:p>
      <w:pPr>
        <w:spacing w:before="0" w:after="100" w:line="260" w:lineRule="exact"/>
      </w:pPr>
      <w:r>
        <w:rPr>
          <w:rFonts w:ascii="Calibri" w:hAnsi="Calibri"/>
          <w:b w:val="0"/>
          <w:i w:val="0"/>
          <w:sz w:val="20"/>
        </w:rPr>
        <w:t>In production, the MEDIUM modal's biometric buttons call the WebAuthn FIDO2 API:</w:t>
      </w:r>
    </w:p>
    <w:p>
      <w:pPr>
        <w:spacing w:before="80" w:after="80"/>
        <w:ind w:left="576"/>
        <w:shd w:val="clear" w:color="auto" w:fill="F0F4F8"/>
      </w:pPr>
      <w:r>
        <w:rPr>
          <w:rFonts w:ascii="Courier New" w:hAnsi="Courier New"/>
          <w:color w:val="0D3B8A"/>
          <w:sz w:val="17"/>
        </w:rPr>
        <w:t>// 1. Get challenge from server</w:t>
        <w:br/>
        <w:t>const { challenge } = await fetch('/api/auth/challenge').then(r =&gt; r.json());</w:t>
        <w:br/>
        <w:br/>
        <w:t>// 2. Call platform authenticator</w:t>
        <w:br/>
        <w:t>const credential = await navigator.credentials.get({</w:t>
        <w:br/>
        <w:t xml:space="preserve">    publicKey: {</w:t>
        <w:br/>
        <w:t xml:space="preserve">        challenge: base64ToBuffer(challenge),</w:t>
        <w:br/>
        <w:t xml:space="preserve">        rpId: 'fibank.al',</w:t>
        <w:br/>
        <w:t xml:space="preserve">        allowCredentials: [{ id: userId, type: 'public-key' }],</w:t>
        <w:br/>
        <w:t xml:space="preserve">        userVerification: 'required',  // forces biometric</w:t>
        <w:br/>
        <w:t xml:space="preserve">        timeout: 60000,</w:t>
        <w:br/>
        <w:t xml:space="preserve">    }</w:t>
        <w:br/>
        <w:t>});</w:t>
        <w:br/>
        <w:br/>
        <w:t>// 3. Send signed assertion to server for verification</w:t>
        <w:br/>
        <w:t>await fetch('/api/auth/verify', {</w:t>
        <w:br/>
        <w:t xml:space="preserve">    method: 'POST',</w:t>
        <w:br/>
        <w:t xml:space="preserve">    body: JSON.stringify({ assertion: credential.response })</w:t>
        <w:br/>
        <w:t>});</w:t>
        <w:br/>
        <w:t>// Private key NEVER leaves the Secure Enclave</w:t>
      </w:r>
    </w:p>
    <w:p>
      <w:pPr>
        <w:pStyle w:val="Heading2"/>
        <w:spacing w:before="240" w:after="80"/>
      </w:pPr>
      <w:r>
        <w:t>8.2  Production Data Pipeline Architecture</w:t>
      </w:r>
    </w:p>
    <w:p>
      <w:pPr>
        <w:spacing w:before="0" w:after="100" w:line="260" w:lineRule="exact"/>
      </w:pPr>
      <w:r>
        <w:rPr>
          <w:rFonts w:ascii="Calibri" w:hAnsi="Calibri"/>
          <w:b w:val="0"/>
          <w:i w:val="0"/>
          <w:sz w:val="20"/>
        </w:rPr>
        <w:t>The demo's Flask session bridge would be replaced by a full real-time event ingestion and processing pipeline:</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0D47A1"/>
          </w:tcPr>
          <w:p>
            <w:pPr>
              <w:spacing w:before="60" w:after="60"/>
            </w:pPr>
            <w:r>
              <w:rPr>
                <w:rFonts w:ascii="Calibri" w:hAnsi="Calibri"/>
                <w:b/>
                <w:color w:val="FFFFFF"/>
                <w:sz w:val="18"/>
              </w:rPr>
              <w:t>Layer</w:t>
            </w:r>
          </w:p>
        </w:tc>
        <w:tc>
          <w:tcPr>
            <w:tcW w:type="dxa" w:w="2880"/>
            <w:shd w:val="clear" w:color="auto" w:fill="0D47A1"/>
          </w:tcPr>
          <w:p>
            <w:pPr>
              <w:spacing w:before="60" w:after="60"/>
            </w:pPr>
            <w:r>
              <w:rPr>
                <w:rFonts w:ascii="Calibri" w:hAnsi="Calibri"/>
                <w:b/>
                <w:color w:val="FFFFFF"/>
                <w:sz w:val="18"/>
              </w:rPr>
              <w:t>Technology</w:t>
            </w:r>
          </w:p>
        </w:tc>
        <w:tc>
          <w:tcPr>
            <w:tcW w:type="dxa" w:w="4320"/>
            <w:shd w:val="clear" w:color="auto" w:fill="0D47A1"/>
          </w:tcPr>
          <w:p>
            <w:pPr>
              <w:spacing w:before="60" w:after="60"/>
            </w:pPr>
            <w:r>
              <w:rPr>
                <w:rFonts w:ascii="Calibri" w:hAnsi="Calibri"/>
                <w:b/>
                <w:color w:val="FFFFFF"/>
                <w:sz w:val="18"/>
              </w:rPr>
              <w:t>Function</w:t>
            </w:r>
          </w:p>
        </w:tc>
      </w:tr>
      <w:tr>
        <w:tc>
          <w:tcPr>
            <w:tcW w:type="dxa" w:w="2160"/>
            <w:shd w:val="clear" w:color="auto" w:fill="F5F8FD"/>
          </w:tcPr>
          <w:p>
            <w:pPr>
              <w:spacing w:before="40" w:after="40"/>
            </w:pPr>
            <w:r>
              <w:rPr>
                <w:rFonts w:ascii="Calibri" w:hAnsi="Calibri"/>
                <w:b/>
                <w:color w:val="192638"/>
                <w:sz w:val="18"/>
              </w:rPr>
              <w:t>Event ingestion</w:t>
            </w:r>
          </w:p>
        </w:tc>
        <w:tc>
          <w:tcPr>
            <w:tcW w:type="dxa" w:w="2880"/>
            <w:shd w:val="clear" w:color="auto" w:fill="F5F8FD"/>
          </w:tcPr>
          <w:p>
            <w:pPr>
              <w:spacing w:before="40" w:after="40"/>
            </w:pPr>
            <w:r>
              <w:rPr>
                <w:rFonts w:ascii="Calibri" w:hAnsi="Calibri"/>
                <w:sz w:val="18"/>
              </w:rPr>
              <w:t>Apache Kafka</w:t>
            </w:r>
          </w:p>
        </w:tc>
        <w:tc>
          <w:tcPr>
            <w:tcW w:type="dxa" w:w="4320"/>
            <w:shd w:val="clear" w:color="auto" w:fill="F5F8FD"/>
          </w:tcPr>
          <w:p>
            <w:pPr>
              <w:spacing w:before="40" w:after="40"/>
            </w:pPr>
            <w:r>
              <w:rPr>
                <w:rFonts w:ascii="Calibri" w:hAnsi="Calibri"/>
                <w:sz w:val="18"/>
              </w:rPr>
              <w:t>Login, page view, mouse telemetry, keystroke, form events emitted as JSON to Kafka topics</w:t>
            </w:r>
          </w:p>
        </w:tc>
      </w:tr>
      <w:tr>
        <w:tc>
          <w:tcPr>
            <w:tcW w:type="dxa" w:w="2160"/>
            <w:shd w:val="clear" w:color="auto" w:fill="FFFFFF"/>
          </w:tcPr>
          <w:p>
            <w:pPr>
              <w:spacing w:before="40" w:after="40"/>
            </w:pPr>
            <w:r>
              <w:rPr>
                <w:rFonts w:ascii="Calibri" w:hAnsi="Calibri"/>
                <w:b/>
                <w:color w:val="192638"/>
                <w:sz w:val="18"/>
              </w:rPr>
              <w:t>Stream processing</w:t>
            </w:r>
          </w:p>
        </w:tc>
        <w:tc>
          <w:tcPr>
            <w:tcW w:type="dxa" w:w="2880"/>
            <w:shd w:val="clear" w:color="auto" w:fill="FFFFFF"/>
          </w:tcPr>
          <w:p>
            <w:pPr>
              <w:spacing w:before="40" w:after="40"/>
            </w:pPr>
            <w:r>
              <w:rPr>
                <w:rFonts w:ascii="Calibri" w:hAnsi="Calibri"/>
                <w:sz w:val="18"/>
              </w:rPr>
              <w:t>Apache Flink / Spark Streaming</w:t>
            </w:r>
          </w:p>
        </w:tc>
        <w:tc>
          <w:tcPr>
            <w:tcW w:type="dxa" w:w="4320"/>
            <w:shd w:val="clear" w:color="auto" w:fill="FFFFFF"/>
          </w:tcPr>
          <w:p>
            <w:pPr>
              <w:spacing w:before="40" w:after="40"/>
            </w:pPr>
            <w:r>
              <w:rPr>
                <w:rFonts w:ascii="Calibri" w:hAnsi="Calibri"/>
                <w:sz w:val="18"/>
              </w:rPr>
              <w:t>Aggregates events into feature vectors (sliding windows for velocity; session aggregation for behavioural)</w:t>
            </w:r>
          </w:p>
        </w:tc>
      </w:tr>
      <w:tr>
        <w:tc>
          <w:tcPr>
            <w:tcW w:type="dxa" w:w="2160"/>
            <w:shd w:val="clear" w:color="auto" w:fill="F5F8FD"/>
          </w:tcPr>
          <w:p>
            <w:pPr>
              <w:spacing w:before="40" w:after="40"/>
            </w:pPr>
            <w:r>
              <w:rPr>
                <w:rFonts w:ascii="Calibri" w:hAnsi="Calibri"/>
                <w:b/>
                <w:color w:val="192638"/>
                <w:sz w:val="18"/>
              </w:rPr>
              <w:t>Feature store</w:t>
            </w:r>
          </w:p>
        </w:tc>
        <w:tc>
          <w:tcPr>
            <w:tcW w:type="dxa" w:w="2880"/>
            <w:shd w:val="clear" w:color="auto" w:fill="F5F8FD"/>
          </w:tcPr>
          <w:p>
            <w:pPr>
              <w:spacing w:before="40" w:after="40"/>
            </w:pPr>
            <w:r>
              <w:rPr>
                <w:rFonts w:ascii="Calibri" w:hAnsi="Calibri"/>
                <w:sz w:val="18"/>
              </w:rPr>
              <w:t>Feast / Tecton</w:t>
            </w:r>
          </w:p>
        </w:tc>
        <w:tc>
          <w:tcPr>
            <w:tcW w:type="dxa" w:w="4320"/>
            <w:shd w:val="clear" w:color="auto" w:fill="F5F8FD"/>
          </w:tcPr>
          <w:p>
            <w:pPr>
              <w:spacing w:before="40" w:after="40"/>
            </w:pPr>
            <w:r>
              <w:rPr>
                <w:rFonts w:ascii="Calibri" w:hAnsi="Calibri"/>
                <w:sz w:val="18"/>
              </w:rPr>
              <w:t>Materialises pre-computed features (historical payee, user baseline, account age) for sub-millisecond retrieval</w:t>
            </w:r>
          </w:p>
        </w:tc>
      </w:tr>
      <w:tr>
        <w:tc>
          <w:tcPr>
            <w:tcW w:type="dxa" w:w="2160"/>
            <w:shd w:val="clear" w:color="auto" w:fill="FFFFFF"/>
          </w:tcPr>
          <w:p>
            <w:pPr>
              <w:spacing w:before="40" w:after="40"/>
            </w:pPr>
            <w:r>
              <w:rPr>
                <w:rFonts w:ascii="Calibri" w:hAnsi="Calibri"/>
                <w:b/>
                <w:color w:val="192638"/>
                <w:sz w:val="18"/>
              </w:rPr>
              <w:t>Model serving</w:t>
            </w:r>
          </w:p>
        </w:tc>
        <w:tc>
          <w:tcPr>
            <w:tcW w:type="dxa" w:w="2880"/>
            <w:shd w:val="clear" w:color="auto" w:fill="FFFFFF"/>
          </w:tcPr>
          <w:p>
            <w:pPr>
              <w:spacing w:before="40" w:after="40"/>
            </w:pPr>
            <w:r>
              <w:rPr>
                <w:rFonts w:ascii="Calibri" w:hAnsi="Calibri"/>
                <w:sz w:val="18"/>
              </w:rPr>
              <w:t>MLflow Serving / BentoML</w:t>
            </w:r>
          </w:p>
        </w:tc>
        <w:tc>
          <w:tcPr>
            <w:tcW w:type="dxa" w:w="4320"/>
            <w:shd w:val="clear" w:color="auto" w:fill="FFFFFF"/>
          </w:tcPr>
          <w:p>
            <w:pPr>
              <w:spacing w:before="40" w:after="40"/>
            </w:pPr>
            <w:r>
              <w:rPr>
                <w:rFonts w:ascii="Calibri" w:hAnsi="Calibri"/>
                <w:sz w:val="18"/>
              </w:rPr>
              <w:t>Serves XGBoost model via REST; model versioning + A/B testing support</w:t>
            </w:r>
          </w:p>
        </w:tc>
      </w:tr>
      <w:tr>
        <w:tc>
          <w:tcPr>
            <w:tcW w:type="dxa" w:w="2160"/>
            <w:shd w:val="clear" w:color="auto" w:fill="F5F8FD"/>
          </w:tcPr>
          <w:p>
            <w:pPr>
              <w:spacing w:before="40" w:after="40"/>
            </w:pPr>
            <w:r>
              <w:rPr>
                <w:rFonts w:ascii="Calibri" w:hAnsi="Calibri"/>
                <w:b/>
                <w:color w:val="192638"/>
                <w:sz w:val="18"/>
              </w:rPr>
              <w:t>Decision engine</w:t>
            </w:r>
          </w:p>
        </w:tc>
        <w:tc>
          <w:tcPr>
            <w:tcW w:type="dxa" w:w="2880"/>
            <w:shd w:val="clear" w:color="auto" w:fill="F5F8FD"/>
          </w:tcPr>
          <w:p>
            <w:pPr>
              <w:spacing w:before="40" w:after="40"/>
            </w:pPr>
            <w:r>
              <w:rPr>
                <w:rFonts w:ascii="Calibri" w:hAnsi="Calibri"/>
                <w:sz w:val="18"/>
              </w:rPr>
              <w:t>Custom rule + model ensemble</w:t>
            </w:r>
          </w:p>
        </w:tc>
        <w:tc>
          <w:tcPr>
            <w:tcW w:type="dxa" w:w="4320"/>
            <w:shd w:val="clear" w:color="auto" w:fill="F5F8FD"/>
          </w:tcPr>
          <w:p>
            <w:pPr>
              <w:spacing w:before="40" w:after="40"/>
            </w:pPr>
            <w:r>
              <w:rPr>
                <w:rFonts w:ascii="Calibri" w:hAnsi="Calibri"/>
                <w:sz w:val="18"/>
              </w:rPr>
              <w:t>Combines model score + rule engine output + regulatory rules → final risk decision</w:t>
            </w:r>
          </w:p>
        </w:tc>
      </w:tr>
      <w:tr>
        <w:tc>
          <w:tcPr>
            <w:tcW w:type="dxa" w:w="2160"/>
            <w:shd w:val="clear" w:color="auto" w:fill="FFFFFF"/>
          </w:tcPr>
          <w:p>
            <w:pPr>
              <w:spacing w:before="40" w:after="40"/>
            </w:pPr>
            <w:r>
              <w:rPr>
                <w:rFonts w:ascii="Calibri" w:hAnsi="Calibri"/>
                <w:b/>
                <w:color w:val="192638"/>
                <w:sz w:val="18"/>
              </w:rPr>
              <w:t>Case management</w:t>
            </w:r>
          </w:p>
        </w:tc>
        <w:tc>
          <w:tcPr>
            <w:tcW w:type="dxa" w:w="2880"/>
            <w:shd w:val="clear" w:color="auto" w:fill="FFFFFF"/>
          </w:tcPr>
          <w:p>
            <w:pPr>
              <w:spacing w:before="40" w:after="40"/>
            </w:pPr>
            <w:r>
              <w:rPr>
                <w:rFonts w:ascii="Calibri" w:hAnsi="Calibri"/>
                <w:sz w:val="18"/>
              </w:rPr>
              <w:t>Internal analyst dashboard</w:t>
            </w:r>
          </w:p>
        </w:tc>
        <w:tc>
          <w:tcPr>
            <w:tcW w:type="dxa" w:w="4320"/>
            <w:shd w:val="clear" w:color="auto" w:fill="FFFFFF"/>
          </w:tcPr>
          <w:p>
            <w:pPr>
              <w:spacing w:before="40" w:after="40"/>
            </w:pPr>
            <w:r>
              <w:rPr>
                <w:rFonts w:ascii="Calibri" w:hAnsi="Calibri"/>
                <w:sz w:val="18"/>
              </w:rPr>
              <w:t>Flagged transactions → analyst queue; dispositions fed back as training labels within 24h</w:t>
            </w:r>
          </w:p>
        </w:tc>
      </w:tr>
      <w:tr>
        <w:tc>
          <w:tcPr>
            <w:tcW w:type="dxa" w:w="2160"/>
            <w:shd w:val="clear" w:color="auto" w:fill="F5F8FD"/>
          </w:tcPr>
          <w:p>
            <w:pPr>
              <w:spacing w:before="40" w:after="40"/>
            </w:pPr>
            <w:r>
              <w:rPr>
                <w:rFonts w:ascii="Calibri" w:hAnsi="Calibri"/>
                <w:b/>
                <w:color w:val="192638"/>
                <w:sz w:val="18"/>
              </w:rPr>
              <w:t>Monitoring</w:t>
            </w:r>
          </w:p>
        </w:tc>
        <w:tc>
          <w:tcPr>
            <w:tcW w:type="dxa" w:w="2880"/>
            <w:shd w:val="clear" w:color="auto" w:fill="F5F8FD"/>
          </w:tcPr>
          <w:p>
            <w:pPr>
              <w:spacing w:before="40" w:after="40"/>
            </w:pPr>
            <w:r>
              <w:rPr>
                <w:rFonts w:ascii="Calibri" w:hAnsi="Calibri"/>
                <w:sz w:val="18"/>
              </w:rPr>
              <w:t>evidently.ai / Prometheus + Grafana</w:t>
            </w:r>
          </w:p>
        </w:tc>
        <w:tc>
          <w:tcPr>
            <w:tcW w:type="dxa" w:w="4320"/>
            <w:shd w:val="clear" w:color="auto" w:fill="F5F8FD"/>
          </w:tcPr>
          <w:p>
            <w:pPr>
              <w:spacing w:before="40" w:after="40"/>
            </w:pPr>
            <w:r>
              <w:rPr>
                <w:rFonts w:ascii="Calibri" w:hAnsi="Calibri"/>
                <w:sz w:val="18"/>
              </w:rPr>
              <w:t>Feature drift detection; model performance tracking; false positive rate monitoring</w:t>
            </w:r>
          </w:p>
        </w:tc>
      </w:tr>
    </w:tbl>
    <w:p/>
    <w:p>
      <w:pPr>
        <w:pStyle w:val="Heading2"/>
        <w:spacing w:before="240" w:after="80"/>
      </w:pPr>
      <w:r>
        <w:t>8.3  Model Retraining Pipeline</w:t>
      </w:r>
    </w:p>
    <w:p>
      <w:pPr>
        <w:spacing w:before="0" w:after="100" w:line="260" w:lineRule="exact"/>
      </w:pPr>
      <w:r>
        <w:rPr>
          <w:rFonts w:ascii="Calibri" w:hAnsi="Calibri"/>
          <w:b w:val="0"/>
          <w:i w:val="0"/>
          <w:sz w:val="20"/>
        </w:rPr>
        <w:t>Fraud patterns evolve continuously. The production model would be retrained on three schedules:</w:t>
      </w:r>
    </w:p>
    <w:p>
      <w:pPr>
        <w:pStyle w:val="ListBullet"/>
        <w:spacing w:after="60" w:before="0"/>
        <w:ind w:left="432"/>
      </w:pPr>
      <w:r>
        <w:rPr>
          <w:rFonts w:ascii="Calibri" w:hAnsi="Calibri"/>
          <w:b/>
          <w:i w:val="0"/>
          <w:sz w:val="20"/>
        </w:rPr>
        <w:t xml:space="preserve">Weekly:  </w:t>
      </w:r>
      <w:r>
        <w:rPr>
          <w:rFonts w:ascii="Calibri" w:hAnsi="Calibri"/>
          <w:b w:val="0"/>
          <w:i w:val="0"/>
          <w:sz w:val="20"/>
        </w:rPr>
        <w:t>Confirmed fraud labels from the previous week's analyst-reviewed cases.</w:t>
      </w:r>
    </w:p>
    <w:p>
      <w:pPr>
        <w:pStyle w:val="ListBullet"/>
        <w:spacing w:after="60" w:before="0"/>
        <w:ind w:left="432"/>
      </w:pPr>
      <w:r>
        <w:rPr>
          <w:rFonts w:ascii="Calibri" w:hAnsi="Calibri"/>
          <w:b/>
          <w:i w:val="0"/>
          <w:sz w:val="20"/>
        </w:rPr>
        <w:t xml:space="preserve">Trigger-based:  </w:t>
      </w:r>
      <w:r>
        <w:rPr>
          <w:rFonts w:ascii="Calibri" w:hAnsi="Calibri"/>
          <w:b w:val="0"/>
          <w:i w:val="0"/>
          <w:sz w:val="20"/>
        </w:rPr>
        <w:t>When KL-divergence monitoring (evidently.ai) detects significant input feature distribution shift — indicating fraud pattern evolution.</w:t>
      </w:r>
    </w:p>
    <w:p>
      <w:pPr>
        <w:pStyle w:val="ListBullet"/>
        <w:spacing w:after="60" w:before="0"/>
        <w:ind w:left="432"/>
      </w:pPr>
      <w:r>
        <w:rPr>
          <w:rFonts w:ascii="Calibri" w:hAnsi="Calibri"/>
          <w:b/>
          <w:i w:val="0"/>
          <w:sz w:val="20"/>
        </w:rPr>
        <w:t xml:space="preserve">Champion / Challenger:  </w:t>
      </w:r>
      <w:r>
        <w:rPr>
          <w:rFonts w:ascii="Calibri" w:hAnsi="Calibri"/>
          <w:b w:val="0"/>
          <w:i w:val="0"/>
          <w:sz w:val="20"/>
        </w:rPr>
        <w:t>New model versions shadow-score all transactions for 2 weeks before promotion to champion. Challenger must exceed champion AUC-ROC by ≥0.005 and reduce false positives by ≥5% to be promoted.</w:t>
      </w:r>
    </w:p>
    <w:p>
      <w:pPr>
        <w:pStyle w:val="ListBullet"/>
        <w:spacing w:after="60" w:before="0"/>
        <w:ind w:left="432"/>
      </w:pPr>
      <w:r>
        <w:rPr>
          <w:rFonts w:ascii="Calibri" w:hAnsi="Calibri"/>
          <w:b/>
          <w:i w:val="0"/>
          <w:sz w:val="20"/>
        </w:rPr>
        <w:t xml:space="preserve">Continuous feedback:  </w:t>
      </w:r>
      <w:r>
        <w:rPr>
          <w:rFonts w:ascii="Calibri" w:hAnsi="Calibri"/>
          <w:b w:val="0"/>
          <w:i w:val="0"/>
          <w:sz w:val="20"/>
        </w:rPr>
        <w:t>Analyst case dispositions fed back as training labels within 24 hours, closing the human-in-the-loop learning cycle.</w:t>
      </w:r>
    </w:p>
    <w:p>
      <w:r>
        <w:br w:type="page"/>
      </w:r>
    </w:p>
    <w:p>
      <w:pPr>
        <w:pStyle w:val="Heading1"/>
        <w:spacing w:before="360" w:after="120"/>
      </w:pPr>
      <w:r>
        <w:t>9.  Compliance &amp; Regulatory Alignment</w:t>
      </w:r>
    </w:p>
    <w:p>
      <w:pPr>
        <w:pStyle w:val="Heading2"/>
        <w:spacing w:before="240" w:after="80"/>
      </w:pPr>
      <w:r>
        <w:t>9.1  PSD2 / SCA Requirements</w:t>
      </w:r>
    </w:p>
    <w:p>
      <w:pPr>
        <w:spacing w:before="0" w:after="100" w:line="260" w:lineRule="exact"/>
      </w:pPr>
      <w:r>
        <w:rPr>
          <w:rFonts w:ascii="Calibri" w:hAnsi="Calibri"/>
          <w:b w:val="0"/>
          <w:i w:val="0"/>
          <w:sz w:val="20"/>
        </w:rPr>
        <w:t>EU PSD2 Article 97 requires Strong Customer Authentication (SCA) for electronic payments. The Fibank system maps its three tiers directly to the SCA framework:</w:t>
      </w:r>
    </w:p>
    <w:tbl>
      <w:tblPr>
        <w:tblStyle w:val="TableGrid"/>
        <w:tblW w:type="auto" w:w="0"/>
        <w:tblLook w:firstColumn="1" w:firstRow="1" w:lastColumn="0" w:lastRow="0" w:noHBand="0" w:noVBand="1" w:val="04A0"/>
      </w:tblPr>
      <w:tblGrid>
        <w:gridCol w:w="3024"/>
        <w:gridCol w:w="3024"/>
        <w:gridCol w:w="3024"/>
      </w:tblGrid>
      <w:tr>
        <w:tc>
          <w:tcPr>
            <w:tcW w:type="dxa" w:w="2304"/>
            <w:shd w:val="clear" w:color="auto" w:fill="0D47A1"/>
          </w:tcPr>
          <w:p>
            <w:pPr>
              <w:spacing w:before="60" w:after="60"/>
            </w:pPr>
            <w:r>
              <w:rPr>
                <w:rFonts w:ascii="Calibri" w:hAnsi="Calibri"/>
                <w:b/>
                <w:color w:val="FFFFFF"/>
                <w:sz w:val="18"/>
              </w:rPr>
              <w:t>Risk Tier</w:t>
            </w:r>
          </w:p>
        </w:tc>
        <w:tc>
          <w:tcPr>
            <w:tcW w:type="dxa" w:w="4032"/>
            <w:shd w:val="clear" w:color="auto" w:fill="0D47A1"/>
          </w:tcPr>
          <w:p>
            <w:pPr>
              <w:spacing w:before="60" w:after="60"/>
            </w:pPr>
            <w:r>
              <w:rPr>
                <w:rFonts w:ascii="Calibri" w:hAnsi="Calibri"/>
                <w:b/>
                <w:color w:val="FFFFFF"/>
                <w:sz w:val="18"/>
              </w:rPr>
              <w:t>SCA Factors Applied</w:t>
            </w:r>
          </w:p>
        </w:tc>
        <w:tc>
          <w:tcPr>
            <w:tcW w:type="dxa" w:w="2880"/>
            <w:shd w:val="clear" w:color="auto" w:fill="0D47A1"/>
          </w:tcPr>
          <w:p>
            <w:pPr>
              <w:spacing w:before="60" w:after="60"/>
            </w:pPr>
            <w:r>
              <w:rPr>
                <w:rFonts w:ascii="Calibri" w:hAnsi="Calibri"/>
                <w:b/>
                <w:color w:val="FFFFFF"/>
                <w:sz w:val="18"/>
              </w:rPr>
              <w:t>PSD2 Basis</w:t>
            </w:r>
          </w:p>
        </w:tc>
      </w:tr>
      <w:tr>
        <w:tc>
          <w:tcPr>
            <w:tcW w:type="dxa" w:w="2304"/>
            <w:shd w:val="clear" w:color="auto" w:fill="F5F8FD"/>
          </w:tcPr>
          <w:p>
            <w:pPr>
              <w:spacing w:before="40" w:after="40"/>
            </w:pPr>
            <w:r>
              <w:rPr>
                <w:rFonts w:ascii="Calibri" w:hAnsi="Calibri"/>
                <w:b/>
                <w:color w:val="192638"/>
                <w:sz w:val="18"/>
              </w:rPr>
              <w:t>LOW — Passive trust</w:t>
            </w:r>
          </w:p>
        </w:tc>
        <w:tc>
          <w:tcPr>
            <w:tcW w:type="dxa" w:w="4032"/>
            <w:shd w:val="clear" w:color="auto" w:fill="F5F8FD"/>
          </w:tcPr>
          <w:p>
            <w:pPr>
              <w:spacing w:before="40" w:after="40"/>
            </w:pPr>
            <w:r>
              <w:rPr>
                <w:rFonts w:ascii="Calibri" w:hAnsi="Calibri"/>
                <w:sz w:val="18"/>
              </w:rPr>
              <w:t>None (TRA exemption)</w:t>
            </w:r>
          </w:p>
        </w:tc>
        <w:tc>
          <w:tcPr>
            <w:tcW w:type="dxa" w:w="2880"/>
            <w:shd w:val="clear" w:color="auto" w:fill="F5F8FD"/>
          </w:tcPr>
          <w:p>
            <w:pPr>
              <w:spacing w:before="40" w:after="40"/>
            </w:pPr>
            <w:r>
              <w:rPr>
                <w:rFonts w:ascii="Calibri" w:hAnsi="Calibri"/>
                <w:sz w:val="18"/>
              </w:rPr>
              <w:t>EBA RTS Article 18 — TRA exemption when fraud rate below threshold and score is low</w:t>
            </w:r>
          </w:p>
        </w:tc>
      </w:tr>
      <w:tr>
        <w:tc>
          <w:tcPr>
            <w:tcW w:type="dxa" w:w="2304"/>
            <w:shd w:val="clear" w:color="auto" w:fill="FFFFFF"/>
          </w:tcPr>
          <w:p>
            <w:pPr>
              <w:spacing w:before="40" w:after="40"/>
            </w:pPr>
            <w:r>
              <w:rPr>
                <w:rFonts w:ascii="Calibri" w:hAnsi="Calibri"/>
                <w:b/>
                <w:color w:val="192638"/>
                <w:sz w:val="18"/>
              </w:rPr>
              <w:t>MEDIUM — Biometric</w:t>
            </w:r>
          </w:p>
        </w:tc>
        <w:tc>
          <w:tcPr>
            <w:tcW w:type="dxa" w:w="4032"/>
            <w:shd w:val="clear" w:color="auto" w:fill="FFFFFF"/>
          </w:tcPr>
          <w:p>
            <w:pPr>
              <w:spacing w:before="40" w:after="40"/>
            </w:pPr>
            <w:r>
              <w:rPr>
                <w:rFonts w:ascii="Calibri" w:hAnsi="Calibri"/>
                <w:sz w:val="18"/>
              </w:rPr>
              <w:t>Inherence (Face ID / Touch ID) OR Possession (Passkey / Push) — satisfies 2FA</w:t>
            </w:r>
          </w:p>
        </w:tc>
        <w:tc>
          <w:tcPr>
            <w:tcW w:type="dxa" w:w="2880"/>
            <w:shd w:val="clear" w:color="auto" w:fill="FFFFFF"/>
          </w:tcPr>
          <w:p>
            <w:pPr>
              <w:spacing w:before="40" w:after="40"/>
            </w:pPr>
            <w:r>
              <w:rPr>
                <w:rFonts w:ascii="Calibri" w:hAnsi="Calibri"/>
                <w:sz w:val="18"/>
              </w:rPr>
              <w:t>PSD2 Art. 97(1) — at least two independent factors</w:t>
            </w:r>
          </w:p>
        </w:tc>
      </w:tr>
      <w:tr>
        <w:tc>
          <w:tcPr>
            <w:tcW w:type="dxa" w:w="2304"/>
            <w:shd w:val="clear" w:color="auto" w:fill="F5F8FD"/>
          </w:tcPr>
          <w:p>
            <w:pPr>
              <w:spacing w:before="40" w:after="40"/>
            </w:pPr>
            <w:r>
              <w:rPr>
                <w:rFonts w:ascii="Calibri" w:hAnsi="Calibri"/>
                <w:b/>
                <w:color w:val="192638"/>
                <w:sz w:val="18"/>
              </w:rPr>
              <w:t>HIGH — FIDO + biometric</w:t>
            </w:r>
          </w:p>
        </w:tc>
        <w:tc>
          <w:tcPr>
            <w:tcW w:type="dxa" w:w="4032"/>
            <w:shd w:val="clear" w:color="auto" w:fill="F5F8FD"/>
          </w:tcPr>
          <w:p>
            <w:pPr>
              <w:spacing w:before="40" w:after="40"/>
            </w:pPr>
            <w:r>
              <w:rPr>
                <w:rFonts w:ascii="Calibri" w:hAnsi="Calibri"/>
                <w:sz w:val="18"/>
              </w:rPr>
              <w:t>Knowledge (FIDO code) + Possession (hardware key) + Inherence (biometric) — all three</w:t>
            </w:r>
          </w:p>
        </w:tc>
        <w:tc>
          <w:tcPr>
            <w:tcW w:type="dxa" w:w="2880"/>
            <w:shd w:val="clear" w:color="auto" w:fill="F5F8FD"/>
          </w:tcPr>
          <w:p>
            <w:pPr>
              <w:spacing w:before="40" w:after="40"/>
            </w:pPr>
            <w:r>
              <w:rPr>
                <w:rFonts w:ascii="Calibri" w:hAnsi="Calibri"/>
                <w:sz w:val="18"/>
              </w:rPr>
              <w:t>Exceeds SCA minimum; aligns with FIDO Alliance strong auth recommendations</w:t>
            </w:r>
          </w:p>
        </w:tc>
      </w:tr>
    </w:tbl>
    <w:p/>
    <w:p>
      <w:pPr>
        <w:pStyle w:val="Heading2"/>
        <w:spacing w:before="240" w:after="80"/>
      </w:pPr>
      <w:r>
        <w:t>9.2  Data Privacy — GDPR &amp; Albanian Law</w:t>
      </w:r>
    </w:p>
    <w:p>
      <w:pPr>
        <w:spacing w:before="0" w:after="100" w:line="260" w:lineRule="exact"/>
      </w:pPr>
      <w:r>
        <w:rPr>
          <w:rFonts w:ascii="Calibri" w:hAnsi="Calibri"/>
          <w:b w:val="0"/>
          <w:i w:val="0"/>
          <w:sz w:val="20"/>
        </w:rPr>
        <w:t>Behavioural biometric data (mouse paths, keystroke timing intervals) is processed entirely in-memory and never persisted to disk. Only the derived aggregate scores (mouse_linearity_score, typing_cadence_score) and the triggered signal labels are stored in the transactions table. This minimises personal data exposure while maintaining full auditability.</w:t>
      </w:r>
    </w:p>
    <w:p>
      <w:pPr>
        <w:spacing w:before="0" w:after="100" w:line="260" w:lineRule="exact"/>
      </w:pPr>
      <w:r>
        <w:rPr>
          <w:rFonts w:ascii="Calibri" w:hAnsi="Calibri"/>
          <w:b w:val="0"/>
          <w:i w:val="0"/>
          <w:sz w:val="20"/>
        </w:rPr>
        <w:t>The Albanian Personal Data Protection Law (Law No. 9887) aligns with GDPR principles. The triggered_signals JSON audit trail satisfies the requirement for explainable automated decisions affecting financial access (GDPR Article 22 — automated decision-making).</w:t>
      </w:r>
    </w:p>
    <w:p>
      <w:pPr>
        <w:pStyle w:val="Heading2"/>
        <w:spacing w:before="240" w:after="80"/>
      </w:pPr>
      <w:r>
        <w:t>9.3  Bank of Albania Regulatory Requirements</w:t>
      </w:r>
    </w:p>
    <w:p>
      <w:pPr>
        <w:spacing w:before="0" w:after="100" w:line="260" w:lineRule="exact"/>
      </w:pPr>
      <w:r>
        <w:rPr>
          <w:rFonts w:ascii="Calibri" w:hAnsi="Calibri"/>
          <w:b w:val="0"/>
          <w:i w:val="0"/>
          <w:sz w:val="20"/>
        </w:rPr>
        <w:t>The Bank of Albania's Regulation on Electronic Payment Instruments requires banks to maintain fraud detection systems proportionate to their risk exposure. The Fibank system satisfies this in three specific ways:</w:t>
      </w:r>
    </w:p>
    <w:p>
      <w:pPr>
        <w:pStyle w:val="ListNumber"/>
        <w:spacing w:after="60" w:before="0"/>
      </w:pPr>
      <w:r>
        <w:rPr>
          <w:rFonts w:ascii="Calibri" w:hAnsi="Calibri"/>
          <w:b w:val="0"/>
          <w:i w:val="0"/>
          <w:sz w:val="20"/>
        </w:rPr>
        <w:t>Three-tier proportionality: The authentication friction exactly matches the assessed threat level.</w:t>
      </w:r>
    </w:p>
    <w:p>
      <w:pPr>
        <w:pStyle w:val="ListNumber"/>
        <w:spacing w:after="60" w:before="0"/>
      </w:pPr>
      <w:r>
        <w:rPr>
          <w:rFonts w:ascii="Calibri" w:hAnsi="Calibri"/>
          <w:b w:val="0"/>
          <w:i w:val="0"/>
          <w:sz w:val="20"/>
        </w:rPr>
        <w:t>Explainability: Every decision surfaces the complete list of triggered signals — auditors can inspect any transaction.</w:t>
      </w:r>
    </w:p>
    <w:p>
      <w:pPr>
        <w:pStyle w:val="ListNumber"/>
        <w:spacing w:after="60" w:before="0"/>
      </w:pPr>
      <w:r>
        <w:rPr>
          <w:rFonts w:ascii="Calibri" w:hAnsi="Calibri"/>
          <w:b w:val="0"/>
          <w:i w:val="0"/>
          <w:sz w:val="20"/>
        </w:rPr>
        <w:t>Audit trail: The transactions table stores risk_score, risk_level, triggered_signals (JSON), and status for every attempted transfer — providing a complete, tamper-evident record.</w:t>
      </w:r>
    </w:p>
    <w:p>
      <w:r>
        <w:br w:type="page"/>
      </w:r>
    </w:p>
    <w:p>
      <w:pPr>
        <w:pStyle w:val="Heading1"/>
        <w:spacing w:before="360" w:after="120"/>
      </w:pPr>
      <w:r>
        <w:t>10.  Conclusion</w:t>
      </w:r>
    </w:p>
    <w:p>
      <w:pPr>
        <w:pStyle w:val="Heading2"/>
        <w:spacing w:before="240" w:after="80"/>
      </w:pPr>
      <w:r>
        <w:t>10.1  Three Core Insights</w:t>
      </w:r>
    </w:p>
    <w:p>
      <w:pPr>
        <w:spacing w:before="0" w:after="100" w:line="260" w:lineRule="exact"/>
      </w:pPr>
      <w:r>
        <w:rPr>
          <w:rFonts w:ascii="Calibri" w:hAnsi="Calibri"/>
          <w:b w:val="0"/>
          <w:i w:val="0"/>
          <w:sz w:val="20"/>
        </w:rPr>
        <w:t>The Fibank Intelligent Fraud Detection System demonstrates three principles that should inform every digital banking fraud strategy:</w:t>
      </w:r>
    </w:p>
    <w:p>
      <w:pPr>
        <w:spacing w:before="0" w:after="100" w:line="260" w:lineRule="exact"/>
      </w:pPr>
      <w:r>
        <w:rPr>
          <w:rFonts w:ascii="Calibri" w:hAnsi="Calibri"/>
          <w:b w:val="0"/>
          <w:i w:val="0"/>
          <w:sz w:val="20"/>
        </w:rPr>
      </w:r>
      <w:r>
        <w:rPr>
          <w:rFonts w:ascii="Calibri" w:hAnsi="Calibri"/>
          <w:b/>
          <w:i w:val="0"/>
          <w:sz w:val="20"/>
        </w:rPr>
        <w:t>1. Behaviour beats credentials.</w:t>
      </w:r>
      <w:r>
        <w:rPr>
          <w:rFonts w:ascii="Calibri" w:hAnsi="Calibri"/>
          <w:b w:val="0"/>
          <w:i w:val="0"/>
          <w:sz w:val="20"/>
        </w:rPr>
      </w:r>
    </w:p>
    <w:p>
      <w:pPr>
        <w:spacing w:before="0" w:after="100" w:line="260" w:lineRule="exact"/>
      </w:pPr>
      <w:r>
        <w:rPr>
          <w:rFonts w:ascii="Calibri" w:hAnsi="Calibri"/>
          <w:b w:val="0"/>
          <w:i w:val="0"/>
          <w:sz w:val="20"/>
        </w:rPr>
        <w:t>The system does not ask whether the password was correct. It asks HOW the session arrived, HOW forms were filled, and WHERE the money is going. A stolen correct password combined with a phishing link, active phone call, and screen sharing produces a score of 9.5+ regardless of credential validity. Credential-centric fraud detection is fundamentally broken against social engineering — behavioural analysis is the answer.</w:t>
      </w:r>
    </w:p>
    <w:p>
      <w:pPr>
        <w:spacing w:before="0" w:after="100" w:line="260" w:lineRule="exact"/>
      </w:pPr>
      <w:r>
        <w:rPr>
          <w:rFonts w:ascii="Calibri" w:hAnsi="Calibri"/>
          <w:b w:val="0"/>
          <w:i w:val="0"/>
          <w:sz w:val="20"/>
        </w:rPr>
      </w:r>
      <w:r>
        <w:rPr>
          <w:rFonts w:ascii="Calibri" w:hAnsi="Calibri"/>
          <w:b/>
          <w:i w:val="0"/>
          <w:sz w:val="20"/>
        </w:rPr>
        <w:t>2. Authentication friction must match the threat.</w:t>
      </w:r>
      <w:r>
        <w:rPr>
          <w:rFonts w:ascii="Calibri" w:hAnsi="Calibri"/>
          <w:b w:val="0"/>
          <w:i w:val="0"/>
          <w:sz w:val="20"/>
        </w:rPr>
      </w:r>
    </w:p>
    <w:p>
      <w:pPr>
        <w:spacing w:before="0" w:after="100" w:line="260" w:lineRule="exact"/>
      </w:pPr>
      <w:r>
        <w:rPr>
          <w:rFonts w:ascii="Calibri" w:hAnsi="Calibri"/>
          <w:b w:val="0"/>
          <w:i w:val="0"/>
          <w:sz w:val="20"/>
        </w:rPr>
        <w:t>A simple OTP SMS is insufficient against vishing (the scammer on the phone simply asks for the code). A FIDO hardware key requirement is a hard physical barrier that breaks the social engineering chain — the scammer cannot be physically present at the victim's key. The system's three-tier response ensures that the 97%+ of genuine, low-risk customers experience zero additional friction, while high-risk sessions face exponentially stronger authentication.</w:t>
      </w:r>
    </w:p>
    <w:p>
      <w:pPr>
        <w:spacing w:before="0" w:after="100" w:line="260" w:lineRule="exact"/>
      </w:pPr>
      <w:r>
        <w:rPr>
          <w:rFonts w:ascii="Calibri" w:hAnsi="Calibri"/>
          <w:b w:val="0"/>
          <w:i w:val="0"/>
          <w:sz w:val="20"/>
        </w:rPr>
      </w:r>
      <w:r>
        <w:rPr>
          <w:rFonts w:ascii="Calibri" w:hAnsi="Calibri"/>
          <w:b/>
          <w:i w:val="0"/>
          <w:sz w:val="20"/>
        </w:rPr>
        <w:t>3. Explainability is not optional.</w:t>
      </w:r>
      <w:r>
        <w:rPr>
          <w:rFonts w:ascii="Calibri" w:hAnsi="Calibri"/>
          <w:b w:val="0"/>
          <w:i w:val="0"/>
          <w:sz w:val="20"/>
        </w:rPr>
      </w:r>
    </w:p>
    <w:p>
      <w:pPr>
        <w:spacing w:before="0" w:after="100" w:line="260" w:lineRule="exact"/>
      </w:pPr>
      <w:r>
        <w:rPr>
          <w:rFonts w:ascii="Calibri" w:hAnsi="Calibri"/>
          <w:b w:val="0"/>
          <w:i w:val="0"/>
          <w:sz w:val="20"/>
        </w:rPr>
        <w:t>Every risk decision surfaces the exact signals that triggered it. Regulators require it (GDPR Article 22, Bank of Albania guidelines). Customers deserve it. Fraud analysts need it. And crucially, it builds organisational trust in the system — a black-box score that nobody can explain will never be acted on with confidence.</w:t>
      </w:r>
    </w:p>
    <w:p>
      <w:pPr>
        <w:pStyle w:val="Heading2"/>
        <w:spacing w:before="240" w:after="80"/>
      </w:pPr>
      <w:r>
        <w:t>10.2  Development Roadmap</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47A1"/>
          </w:tcPr>
          <w:p>
            <w:pPr>
              <w:spacing w:before="60" w:after="60"/>
            </w:pPr>
            <w:r>
              <w:rPr>
                <w:rFonts w:ascii="Calibri" w:hAnsi="Calibri"/>
                <w:b/>
                <w:color w:val="FFFFFF"/>
                <w:sz w:val="18"/>
              </w:rPr>
              <w:t>Phase</w:t>
            </w:r>
          </w:p>
        </w:tc>
        <w:tc>
          <w:tcPr>
            <w:tcW w:type="dxa" w:w="1728"/>
            <w:shd w:val="clear" w:color="auto" w:fill="0D47A1"/>
          </w:tcPr>
          <w:p>
            <w:pPr>
              <w:spacing w:before="60" w:after="60"/>
            </w:pPr>
            <w:r>
              <w:rPr>
                <w:rFonts w:ascii="Calibri" w:hAnsi="Calibri"/>
                <w:b/>
                <w:color w:val="FFFFFF"/>
                <w:sz w:val="18"/>
              </w:rPr>
              <w:t>Status</w:t>
            </w:r>
          </w:p>
        </w:tc>
        <w:tc>
          <w:tcPr>
            <w:tcW w:type="dxa" w:w="4896"/>
            <w:shd w:val="clear" w:color="auto" w:fill="0D47A1"/>
          </w:tcPr>
          <w:p>
            <w:pPr>
              <w:spacing w:before="60" w:after="60"/>
            </w:pPr>
            <w:r>
              <w:rPr>
                <w:rFonts w:ascii="Calibri" w:hAnsi="Calibri"/>
                <w:b/>
                <w:color w:val="FFFFFF"/>
                <w:sz w:val="18"/>
              </w:rPr>
              <w:t>Key Deliverables</w:t>
            </w:r>
          </w:p>
        </w:tc>
      </w:tr>
      <w:tr>
        <w:tc>
          <w:tcPr>
            <w:tcW w:type="dxa" w:w="2592"/>
            <w:shd w:val="clear" w:color="auto" w:fill="F5F8FD"/>
          </w:tcPr>
          <w:p>
            <w:pPr>
              <w:spacing w:before="40" w:after="40"/>
            </w:pPr>
            <w:r>
              <w:rPr>
                <w:rFonts w:ascii="Calibri" w:hAnsi="Calibri"/>
                <w:b/>
                <w:color w:val="192638"/>
                <w:sz w:val="18"/>
              </w:rPr>
              <w:t>Phase 1 — Hackathon Demo</w:t>
            </w:r>
          </w:p>
        </w:tc>
        <w:tc>
          <w:tcPr>
            <w:tcW w:type="dxa" w:w="1728"/>
            <w:shd w:val="clear" w:color="auto" w:fill="F5F8FD"/>
          </w:tcPr>
          <w:p>
            <w:pPr>
              <w:spacing w:before="40" w:after="40"/>
            </w:pPr>
            <w:r>
              <w:rPr>
                <w:rFonts w:ascii="Calibri" w:hAnsi="Calibri"/>
                <w:sz w:val="18"/>
              </w:rPr>
              <w:t>COMPLETE</w:t>
            </w:r>
          </w:p>
        </w:tc>
        <w:tc>
          <w:tcPr>
            <w:tcW w:type="dxa" w:w="4896"/>
            <w:shd w:val="clear" w:color="auto" w:fill="F5F8FD"/>
          </w:tcPr>
          <w:p>
            <w:pPr>
              <w:spacing w:before="40" w:after="40"/>
            </w:pPr>
            <w:r>
              <w:rPr>
                <w:rFonts w:ascii="Calibri" w:hAnsi="Calibri"/>
                <w:sz w:val="18"/>
              </w:rPr>
              <w:t>Browser simulation, presenter panel, XGBoost model, 27 signals, 3-tier auth, 4-tab biometric MEDIUM modal, FIDO HIGH overlay</w:t>
            </w:r>
          </w:p>
        </w:tc>
      </w:tr>
      <w:tr>
        <w:tc>
          <w:tcPr>
            <w:tcW w:type="dxa" w:w="2592"/>
            <w:shd w:val="clear" w:color="auto" w:fill="FFFFFF"/>
          </w:tcPr>
          <w:p>
            <w:pPr>
              <w:spacing w:before="40" w:after="40"/>
            </w:pPr>
            <w:r>
              <w:rPr>
                <w:rFonts w:ascii="Calibri" w:hAnsi="Calibri"/>
                <w:b/>
                <w:color w:val="192638"/>
                <w:sz w:val="18"/>
              </w:rPr>
              <w:t>Phase 2 — Pilot Integration</w:t>
            </w:r>
          </w:p>
        </w:tc>
        <w:tc>
          <w:tcPr>
            <w:tcW w:type="dxa" w:w="1728"/>
            <w:shd w:val="clear" w:color="auto" w:fill="FFFFFF"/>
          </w:tcPr>
          <w:p>
            <w:pPr>
              <w:spacing w:before="40" w:after="40"/>
            </w:pPr>
            <w:r>
              <w:rPr>
                <w:rFonts w:ascii="Calibri" w:hAnsi="Calibri"/>
                <w:sz w:val="18"/>
              </w:rPr>
              <w:t>6–12 months</w:t>
            </w:r>
          </w:p>
        </w:tc>
        <w:tc>
          <w:tcPr>
            <w:tcW w:type="dxa" w:w="4896"/>
            <w:shd w:val="clear" w:color="auto" w:fill="FFFFFF"/>
          </w:tcPr>
          <w:p>
            <w:pPr>
              <w:spacing w:before="40" w:after="40"/>
            </w:pPr>
            <w:r>
              <w:rPr>
                <w:rFonts w:ascii="Calibri" w:hAnsi="Calibri"/>
                <w:sz w:val="18"/>
              </w:rPr>
              <w:t>Core banking API integration (Temenos T24), real device signal collection from iOS/Android app, live transaction data retraining pipeline, soft launch with analyst oversight</w:t>
            </w:r>
          </w:p>
        </w:tc>
      </w:tr>
      <w:tr>
        <w:tc>
          <w:tcPr>
            <w:tcW w:type="dxa" w:w="2592"/>
            <w:shd w:val="clear" w:color="auto" w:fill="F5F8FD"/>
          </w:tcPr>
          <w:p>
            <w:pPr>
              <w:spacing w:before="40" w:after="40"/>
            </w:pPr>
            <w:r>
              <w:rPr>
                <w:rFonts w:ascii="Calibri" w:hAnsi="Calibri"/>
                <w:b/>
                <w:color w:val="192638"/>
                <w:sz w:val="18"/>
              </w:rPr>
              <w:t>Phase 3 — Production Scale</w:t>
            </w:r>
          </w:p>
        </w:tc>
        <w:tc>
          <w:tcPr>
            <w:tcW w:type="dxa" w:w="1728"/>
            <w:shd w:val="clear" w:color="auto" w:fill="F5F8FD"/>
          </w:tcPr>
          <w:p>
            <w:pPr>
              <w:spacing w:before="40" w:after="40"/>
            </w:pPr>
            <w:r>
              <w:rPr>
                <w:rFonts w:ascii="Calibri" w:hAnsi="Calibri"/>
                <w:sz w:val="18"/>
              </w:rPr>
              <w:t>12–24 months</w:t>
            </w:r>
          </w:p>
        </w:tc>
        <w:tc>
          <w:tcPr>
            <w:tcW w:type="dxa" w:w="4896"/>
            <w:shd w:val="clear" w:color="auto" w:fill="F5F8FD"/>
          </w:tcPr>
          <w:p>
            <w:pPr>
              <w:spacing w:before="40" w:after="40"/>
            </w:pPr>
            <w:r>
              <w:rPr>
                <w:rFonts w:ascii="Calibri" w:hAnsi="Calibri"/>
                <w:sz w:val="18"/>
              </w:rPr>
              <w:t>Kafka + Flink stream processing, graph network mule ring detection, federated learning across branches, real-time analyst case management, champion/challenger model framework</w:t>
            </w:r>
          </w:p>
        </w:tc>
      </w:tr>
    </w:tbl>
    <w:p/>
    <w:p>
      <w:pPr>
        <w:pStyle w:val="Heading2"/>
        <w:spacing w:before="240" w:after="80"/>
      </w:pPr>
      <w:r>
        <w:t>10.3  The Business Case</w:t>
      </w:r>
    </w:p>
    <w:p>
      <w:pPr>
        <w:spacing w:before="0" w:after="100" w:line="260" w:lineRule="exact"/>
      </w:pPr>
      <w:r>
        <w:rPr>
          <w:rFonts w:ascii="Calibri" w:hAnsi="Calibri"/>
          <w:b w:val="0"/>
          <w:i w:val="0"/>
          <w:sz w:val="20"/>
        </w:rPr>
        <w:t>Industry benchmark: every €1 invested in fraud prevention saves €5–€8 in fraud losses (ACFE Report to the Nations, 2024). For Fibank with estimated annual digital transfer volume of 50 billion ALL:</w:t>
      </w:r>
    </w:p>
    <w:p>
      <w:pPr>
        <w:pStyle w:val="ListBullet"/>
        <w:spacing w:after="60" w:before="0"/>
        <w:ind w:left="432"/>
      </w:pPr>
      <w:r>
        <w:rPr>
          <w:rFonts w:ascii="Calibri" w:hAnsi="Calibri"/>
          <w:b w:val="0"/>
          <w:i w:val="0"/>
          <w:sz w:val="20"/>
        </w:rPr>
        <w:t>At 0.1% fraud rate: 50 million ALL in annual fraud losses (baseline estimate)</w:t>
      </w:r>
    </w:p>
    <w:p>
      <w:pPr>
        <w:pStyle w:val="ListBullet"/>
        <w:spacing w:after="60" w:before="0"/>
        <w:ind w:left="432"/>
      </w:pPr>
      <w:r>
        <w:rPr>
          <w:rFonts w:ascii="Calibri" w:hAnsi="Calibri"/>
          <w:b w:val="0"/>
          <w:i w:val="0"/>
          <w:sz w:val="20"/>
        </w:rPr>
        <w:t>At 85% detection + &lt;3% false positive rate: ~42.5 million ALL in prevented losses annually</w:t>
      </w:r>
    </w:p>
    <w:p>
      <w:pPr>
        <w:pStyle w:val="ListBullet"/>
        <w:spacing w:after="60" w:before="0"/>
        <w:ind w:left="432"/>
      </w:pPr>
      <w:r>
        <w:rPr>
          <w:rFonts w:ascii="Calibri" w:hAnsi="Calibri"/>
          <w:b w:val="0"/>
          <w:i w:val="0"/>
          <w:sz w:val="20"/>
        </w:rPr>
        <w:t>Customer friction impact: &lt;3% of transactions reach MEDIUM tier; &lt;0.1% reach HIGH tier</w:t>
      </w:r>
    </w:p>
    <w:p>
      <w:pPr>
        <w:pStyle w:val="ListBullet"/>
        <w:spacing w:after="60" w:before="0"/>
        <w:ind w:left="432"/>
      </w:pPr>
      <w:r>
        <w:rPr>
          <w:rFonts w:ascii="Calibri" w:hAnsi="Calibri"/>
          <w:b w:val="0"/>
          <w:i w:val="0"/>
          <w:sz w:val="20"/>
        </w:rPr>
        <w:t>Net NPS impact: near-zero for genuine customers; dramatically improved for fraud victims whose transfers are stopped</w:t>
      </w:r>
    </w:p>
    <w:p>
      <w:pPr>
        <w:spacing w:before="0" w:after="100" w:line="260" w:lineRule="exact"/>
      </w:pPr>
      <w:r>
        <w:rPr>
          <w:rFonts w:ascii="Calibri" w:hAnsi="Calibri"/>
          <w:b w:val="0"/>
          <w:i w:val="0"/>
          <w:sz w:val="20"/>
        </w:rPr>
        <w:t>The technology exists. The data exists. The regulatory requirement exists. What was missing was the intelligence layer to connect them in real time, at transfer initiation, before the money moves. That is what the Fibank Fraud Detection System provides.</w:t>
      </w:r>
    </w:p>
    <w:p>
      <w:pPr>
        <w:pBdr>
          <w:bottom w:val="single" w:sz="4" w:space="1" w:color="DAE5F2"/>
        </w:pBdr>
        <w:spacing w:after="160" w:before="80"/>
      </w:pPr>
    </w:p>
    <w:p>
      <w:pPr>
        <w:pStyle w:val="Heading1"/>
        <w:spacing w:before="360" w:after="120"/>
      </w:pPr>
      <w:r>
        <w:t>References</w:t>
      </w:r>
    </w:p>
    <w:p>
      <w:pPr>
        <w:spacing w:before="20" w:after="80"/>
        <w:ind w:left="432" w:hanging="432"/>
      </w:pPr>
      <w:r>
        <w:rPr>
          <w:rFonts w:ascii="Calibri" w:hAnsi="Calibri"/>
          <w:b/>
          <w:color w:val="1565C0"/>
          <w:sz w:val="19"/>
        </w:rPr>
        <w:t xml:space="preserve">[1]  </w:t>
      </w:r>
      <w:r>
        <w:rPr>
          <w:rFonts w:ascii="Calibri" w:hAnsi="Calibri"/>
          <w:color w:val="192638"/>
          <w:sz w:val="19"/>
        </w:rPr>
        <w:t>European Banking Authority. (2018). Guidelines on the security measures for operational and security risks under the Payment Services Directive 2 (PSD2). EBA/GL/2017/17.</w:t>
      </w:r>
    </w:p>
    <w:p>
      <w:pPr>
        <w:spacing w:before="20" w:after="80"/>
        <w:ind w:left="432" w:hanging="432"/>
      </w:pPr>
      <w:r>
        <w:rPr>
          <w:rFonts w:ascii="Calibri" w:hAnsi="Calibri"/>
          <w:b/>
          <w:color w:val="1565C0"/>
          <w:sz w:val="19"/>
        </w:rPr>
        <w:t xml:space="preserve">[2]  </w:t>
      </w:r>
      <w:r>
        <w:rPr>
          <w:rFonts w:ascii="Calibri" w:hAnsi="Calibri"/>
          <w:color w:val="192638"/>
          <w:sz w:val="19"/>
        </w:rPr>
        <w:t>Chen, T., &amp; Guestrin, C. (2016). XGBoost: A Scalable Tree Boosting System. Proceedings of the 22nd ACM SIGKDD International Conference on Knowledge Discovery and Data Mining (KDD '16).</w:t>
      </w:r>
    </w:p>
    <w:p>
      <w:pPr>
        <w:spacing w:before="20" w:after="80"/>
        <w:ind w:left="432" w:hanging="432"/>
      </w:pPr>
      <w:r>
        <w:rPr>
          <w:rFonts w:ascii="Calibri" w:hAnsi="Calibri"/>
          <w:b/>
          <w:color w:val="1565C0"/>
          <w:sz w:val="19"/>
        </w:rPr>
        <w:t xml:space="preserve">[3]  </w:t>
      </w:r>
      <w:r>
        <w:rPr>
          <w:rFonts w:ascii="Calibri" w:hAnsi="Calibri"/>
          <w:color w:val="192638"/>
          <w:sz w:val="19"/>
        </w:rPr>
        <w:t>Association of Certified Fraud Examiners. (2024). Report to the Nations: Global Study on Occupational Fraud and Abuse. ACFE.</w:t>
      </w:r>
    </w:p>
    <w:p>
      <w:pPr>
        <w:spacing w:before="20" w:after="80"/>
        <w:ind w:left="432" w:hanging="432"/>
      </w:pPr>
      <w:r>
        <w:rPr>
          <w:rFonts w:ascii="Calibri" w:hAnsi="Calibri"/>
          <w:b/>
          <w:color w:val="1565C0"/>
          <w:sz w:val="19"/>
        </w:rPr>
        <w:t xml:space="preserve">[4]  </w:t>
      </w:r>
      <w:r>
        <w:rPr>
          <w:rFonts w:ascii="Calibri" w:hAnsi="Calibri"/>
          <w:color w:val="192638"/>
          <w:sz w:val="19"/>
        </w:rPr>
        <w:t>Bahnsen, A. C., Aouada, D., Stojanovic, A., &amp; Ottersten, B. (2016). Feature engineering strategies for credit card fraud detection. Expert Systems with Applications, 51, 134–142.</w:t>
      </w:r>
    </w:p>
    <w:p>
      <w:pPr>
        <w:spacing w:before="20" w:after="80"/>
        <w:ind w:left="432" w:hanging="432"/>
      </w:pPr>
      <w:r>
        <w:rPr>
          <w:rFonts w:ascii="Calibri" w:hAnsi="Calibri"/>
          <w:b/>
          <w:color w:val="1565C0"/>
          <w:sz w:val="19"/>
        </w:rPr>
        <w:t xml:space="preserve">[5]  </w:t>
      </w:r>
      <w:r>
        <w:rPr>
          <w:rFonts w:ascii="Calibri" w:hAnsi="Calibri"/>
          <w:color w:val="192638"/>
          <w:sz w:val="19"/>
        </w:rPr>
        <w:t>Lebichot, B., et al. (2020). Deep-Learning Domain Adaptation Techniques for Credit Cards Fraud Detection. INNS Big Data and Deep Learning Conference.</w:t>
      </w:r>
    </w:p>
    <w:p>
      <w:pPr>
        <w:spacing w:before="20" w:after="80"/>
        <w:ind w:left="432" w:hanging="432"/>
      </w:pPr>
      <w:r>
        <w:rPr>
          <w:rFonts w:ascii="Calibri" w:hAnsi="Calibri"/>
          <w:b/>
          <w:color w:val="1565C0"/>
          <w:sz w:val="19"/>
        </w:rPr>
        <w:t xml:space="preserve">[6]  </w:t>
      </w:r>
      <w:r>
        <w:rPr>
          <w:rFonts w:ascii="Calibri" w:hAnsi="Calibri"/>
          <w:color w:val="192638"/>
          <w:sz w:val="19"/>
        </w:rPr>
        <w:t>FIDO Alliance. (2023). FIDO2: Web Authentication (WebAuthn) Core Specifications, Level 2. W3C Recommendation.</w:t>
      </w:r>
    </w:p>
    <w:p>
      <w:pPr>
        <w:spacing w:before="20" w:after="80"/>
        <w:ind w:left="432" w:hanging="432"/>
      </w:pPr>
      <w:r>
        <w:rPr>
          <w:rFonts w:ascii="Calibri" w:hAnsi="Calibri"/>
          <w:b/>
          <w:color w:val="1565C0"/>
          <w:sz w:val="19"/>
        </w:rPr>
        <w:t xml:space="preserve">[7]  </w:t>
      </w:r>
      <w:r>
        <w:rPr>
          <w:rFonts w:ascii="Calibri" w:hAnsi="Calibri"/>
          <w:color w:val="192638"/>
          <w:sz w:val="19"/>
        </w:rPr>
        <w:t>Bank of Albania. (2021). Regulation on Electronic Payment Instruments. Official Gazette No. 182.</w:t>
      </w:r>
    </w:p>
    <w:p>
      <w:pPr>
        <w:spacing w:before="20" w:after="80"/>
        <w:ind w:left="432" w:hanging="432"/>
      </w:pPr>
      <w:r>
        <w:rPr>
          <w:rFonts w:ascii="Calibri" w:hAnsi="Calibri"/>
          <w:b/>
          <w:color w:val="1565C0"/>
          <w:sz w:val="19"/>
        </w:rPr>
        <w:t xml:space="preserve">[8]  </w:t>
      </w:r>
      <w:r>
        <w:rPr>
          <w:rFonts w:ascii="Calibri" w:hAnsi="Calibri"/>
          <w:color w:val="192638"/>
          <w:sz w:val="19"/>
        </w:rPr>
        <w:t>Featurespace. (2023). ARIC Risk Hub: Real-Time Adaptive Behavioural Analytics — Technical White Paper. Featurespace Ltd.</w:t>
      </w:r>
    </w:p>
    <w:p>
      <w:pPr>
        <w:spacing w:before="20" w:after="80"/>
        <w:ind w:left="432" w:hanging="432"/>
      </w:pPr>
      <w:r>
        <w:rPr>
          <w:rFonts w:ascii="Calibri" w:hAnsi="Calibri"/>
          <w:b/>
          <w:color w:val="1565C0"/>
          <w:sz w:val="19"/>
        </w:rPr>
        <w:t xml:space="preserve">[9]  </w:t>
      </w:r>
      <w:r>
        <w:rPr>
          <w:rFonts w:ascii="Calibri" w:hAnsi="Calibri"/>
          <w:color w:val="192638"/>
          <w:sz w:val="19"/>
        </w:rPr>
        <w:t>Apple Developer Documentation. (2024). CXCallObserver, UIScreen.isCaptured, Local Authentication Framework — Biometric Authentication. developer.apple.com.</w:t>
      </w:r>
    </w:p>
    <w:p>
      <w:pPr>
        <w:spacing w:before="20" w:after="80"/>
        <w:ind w:left="432" w:hanging="432"/>
      </w:pPr>
      <w:r>
        <w:rPr>
          <w:rFonts w:ascii="Calibri" w:hAnsi="Calibri"/>
          <w:b/>
          <w:color w:val="1565C0"/>
          <w:sz w:val="19"/>
        </w:rPr>
        <w:t xml:space="preserve">[10]  </w:t>
      </w:r>
      <w:r>
        <w:rPr>
          <w:rFonts w:ascii="Calibri" w:hAnsi="Calibri"/>
          <w:color w:val="192638"/>
          <w:sz w:val="19"/>
        </w:rPr>
        <w:t>Google Android Developers. (2024). TelecomManager, MediaProjectionManager, BiometricPrompt API Reference. developer.android.com.</w:t>
      </w:r>
    </w:p>
    <w:p>
      <w:pPr>
        <w:spacing w:before="20" w:after="80"/>
        <w:ind w:left="432" w:hanging="432"/>
      </w:pPr>
      <w:r>
        <w:rPr>
          <w:rFonts w:ascii="Calibri" w:hAnsi="Calibri"/>
          <w:b/>
          <w:color w:val="1565C0"/>
          <w:sz w:val="19"/>
        </w:rPr>
        <w:t xml:space="preserve">[11]  </w:t>
      </w:r>
      <w:r>
        <w:rPr>
          <w:rFonts w:ascii="Calibri" w:hAnsi="Calibri"/>
          <w:color w:val="192638"/>
          <w:sz w:val="19"/>
        </w:rPr>
        <w:t>European Parliament. (2018). Regulation (EU) 2016/679 — General Data Protection Regulation (GDPR). Official Journal of the European Union.</w:t>
      </w:r>
    </w:p>
    <w:p>
      <w:pPr>
        <w:spacing w:before="20" w:after="80"/>
        <w:ind w:left="432" w:hanging="432"/>
      </w:pPr>
      <w:r>
        <w:rPr>
          <w:rFonts w:ascii="Calibri" w:hAnsi="Calibri"/>
          <w:b/>
          <w:color w:val="1565C0"/>
          <w:sz w:val="19"/>
        </w:rPr>
        <w:t xml:space="preserve">[12]  </w:t>
      </w:r>
      <w:r>
        <w:rPr>
          <w:rFonts w:ascii="Calibri" w:hAnsi="Calibri"/>
          <w:color w:val="192638"/>
          <w:sz w:val="19"/>
        </w:rPr>
        <w:t>Mastercard. (2023). Decision Intelligence Pro: Real-Time AI Fraud Scoring — Product Overview. Mastercard International.</w:t>
      </w:r>
    </w:p>
    <w:p>
      <w:r>
        <w:br w:type="page"/>
      </w:r>
    </w:p>
    <w:p>
      <w:pPr>
        <w:spacing w:before="1600"/>
        <w:jc w:val="center"/>
      </w:pPr>
      <w:r>
        <w:rPr>
          <w:rFonts w:ascii="Calibri" w:hAnsi="Calibri"/>
          <w:b/>
          <w:color w:val="0C2042"/>
          <w:sz w:val="28"/>
        </w:rPr>
        <w:t>Fibank Intelligent Fraud Detection System</w:t>
      </w:r>
    </w:p>
    <w:p>
      <w:pPr>
        <w:jc w:val="center"/>
      </w:pPr>
      <w:r>
        <w:rPr>
          <w:rFonts w:ascii="Calibri" w:hAnsi="Calibri"/>
          <w:color w:val="6D89A5"/>
          <w:sz w:val="20"/>
        </w:rPr>
        <w:t>Hackathon Submission · Tirana, Albania · 2025</w:t>
      </w:r>
    </w:p>
    <w:p/>
    <w:tbl>
      <w:tblPr>
        <w:tblStyle w:val="TableGrid"/>
        <w:tblW w:type="auto" w:w="0"/>
        <w:tblLook w:firstColumn="1" w:firstRow="1" w:lastColumn="0" w:lastRow="0" w:noHBand="0" w:noVBand="1" w:val="04A0"/>
      </w:tblPr>
      <w:tblGrid>
        <w:gridCol w:w="9072"/>
      </w:tblGrid>
      <w:tr>
        <w:tc>
          <w:tcPr>
            <w:tcW w:type="dxa" w:w="9072"/>
            <w:shd w:val="clear" w:color="auto" w:fill="E8F0FC"/>
          </w:tcPr>
          <w:p>
            <w:pPr>
              <w:spacing w:before="80" w:after="80"/>
              <w:ind w:left="144"/>
            </w:pPr>
            <w:r>
              <w:rPr>
                <w:rFonts w:ascii="Calibri" w:hAnsi="Calibri"/>
                <w:sz w:val="19"/>
              </w:rPr>
              <w:t>Built with: Python 3 · Flask · SQLite · XGBoost · scikit-learn · Vanilla JavaScript · CSS3</w:t>
              <w:br/>
            </w:r>
            <w:r>
              <w:rPr>
                <w:rFonts w:ascii="Calibri" w:hAnsi="Calibri"/>
                <w:sz w:val="19"/>
              </w:rPr>
              <w:t>Fraud Signals: 27 behavioural, device, session, and sociotechnical dimensions</w:t>
              <w:br/>
            </w:r>
            <w:r>
              <w:rPr>
                <w:rFonts w:ascii="Calibri" w:hAnsi="Calibri"/>
                <w:sz w:val="19"/>
              </w:rPr>
              <w:t>Authentication: 3 tiers · 4 biometric methods · FIDO2 hardware key · WebAuthn</w:t>
              <w:br/>
            </w:r>
            <w:r>
              <w:rPr>
                <w:rFonts w:ascii="Calibri" w:hAnsi="Calibri"/>
                <w:sz w:val="19"/>
              </w:rPr>
              <w:t>Scoring: Deterministic rule engine + XGBoost gradient-boosted classifier</w:t>
              <w:br/>
            </w:r>
            <w:r>
              <w:rPr>
                <w:rFonts w:ascii="Calibri" w:hAnsi="Calibri"/>
                <w:sz w:val="19"/>
              </w:rPr>
              <w:t>Compliance: PSD2 SCA · GDPR · Bank of Albania Payment Instruments Regulation</w:t>
              <w:br/>
            </w:r>
          </w:p>
        </w:tc>
      </w:tr>
    </w:tbl>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D89A5"/>
        <w:sz w:val="18"/>
      </w:rPr>
      <w:t xml:space="preserve">Page </w:t>
      <w:fldChar w:fldCharType="begin"/>
      <w:instrText>PAGE</w:instrText>
      <w:fldChar w:fldCharType="end"/>
    </w:r>
    <w:r>
      <w:rPr>
        <w:color w:val="6D89A5"/>
        <w:sz w:val="18"/>
      </w:rPr>
      <w:t xml:space="preserve"> | Fibank Fraud Detection System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0C204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976D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