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3.12.0.0 -->
  <w:body>
    <w:p w:rsidR="00A77B3E">
      <w:pPr>
        <w:pStyle w:val="Normal0"/>
        <w:jc w:val="left"/>
        <w:rPr>
          <w:rStyle w:val="DefaultParagraphFont"/>
        </w:rPr>
      </w:pPr>
      <w:r>
        <w:rPr>
          <w:rStyle w:val="DefaultParagraphFont"/>
          <w:rFonts w:ascii="Arial" w:eastAsia="Arial" w:hAnsi="Arial" w:cs="Arial"/>
          <w:b/>
          <w:i w:val="0"/>
          <w:color w:val="483D8B"/>
          <w:sz w:val="24"/>
          <w:u w:val="none"/>
        </w:rPr>
        <w:t>Table of Contents</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Pr>
          <w:p w:rsidR="00A77B3E">
            <w:pPr>
              <w:pStyle w:val="Normal0"/>
              <w:jc w:val="left"/>
              <w:rPr>
                <w:rStyle w:val="DefaultParagraphFont"/>
                <w:rFonts w:ascii="Arial" w:eastAsia="Arial" w:hAnsi="Arial" w:cs="Arial"/>
                <w:b/>
                <w:i w:val="0"/>
                <w:color w:val="000000"/>
                <w:sz w:val="16"/>
                <w:u w:val="none"/>
              </w:rPr>
            </w:pPr>
          </w:p>
          <w:p w:rsidR="00A77B3E">
            <w:pPr>
              <w:pStyle w:val="Normal0"/>
              <w:jc w:val="left"/>
              <w:rPr>
                <w:rStyle w:val="DefaultParagraphFont"/>
                <w:rFonts w:ascii="Arial" w:eastAsia="Arial" w:hAnsi="Arial" w:cs="Arial"/>
                <w:b/>
                <w:i w:val="0"/>
                <w:color w:val="000000"/>
                <w:sz w:val="16"/>
                <w:u w:val="none"/>
              </w:rPr>
            </w:pPr>
          </w:p>
        </w:tc>
      </w:tr>
    </w:tbl>
    <w:p w:rsidR="00A77B3E">
      <w:pPr>
        <w:pStyle w:val="Normal0"/>
        <w:numPr>
          <w:ilvl w:val="0"/>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"bookmark-1"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Company Information</w:t>
        <w:tab/>
        <w:t>2</w:t>
      </w:r>
      <w:r>
        <w:rPr>
          <w:rStyle w:val="DefaultParagraphFont"/>
          <w:rFonts w:ascii="Arial" w:eastAsia="Arial" w:hAnsi="Arial" w:cs="Arial"/>
          <w:b/>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"bookmark-2"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Ticker</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"bookmark-3"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Exchange</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"bookmark-4"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Website</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"bookmark-5"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Year Founded</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"bookmark-6"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Company Status</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"bookmark-7"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Number of Employees</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"bookmark-8"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Business Description / Color Notes</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"bookmark-9"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Primary Industry</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"bookmark-10"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Industry Classifications</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"bookmark-11"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Company Coverage</w:t>
        <w:tab/>
        <w:t>3</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"bookmark-12"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Company Relationships</w:t>
        <w:tab/>
        <w:t>4</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"bookmark-13"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Company Notes</w:t>
        <w:tab/>
        <w:t>18</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"bookmark-14"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Strategy Notes</w:t>
        <w:tab/>
        <w:t>18</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"bookmark-15"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Primary Office Location</w:t>
        <w:tab/>
        <w:t>18</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"bookmark-16"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Office Locations</w:t>
        <w:tab/>
        <w:t>18</w:t>
      </w:r>
      <w:r>
        <w:rPr>
          <w:rStyle w:val="DefaultParagraphFont"/>
          <w:rFonts w:ascii="Arial" w:eastAsia="Arial" w:hAnsi="Arial" w:cs="Arial"/>
          <w:b w:val="0"/>
          <w:i w:val="0"/>
          <w:color w:val="000000"/>
          <w:sz w:val="16"/>
          <w:u w:val="none"/>
        </w:rPr>
        <w:fldChar w:fldCharType="end"/>
      </w:r>
    </w:p>
    <w:p w:rsidR="00A77B3E">
      <w:pPr>
        <w:pStyle w:val="Normal0"/>
        <w:numPr>
          <w:ilvl w:val="0"/>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"bookmark-17"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Key Executives &amp; Board Members</w:t>
        <w:tab/>
        <w:t>21</w:t>
      </w:r>
      <w:r>
        <w:rPr>
          <w:rStyle w:val="DefaultParagraphFont"/>
          <w:rFonts w:ascii="Arial" w:eastAsia="Arial" w:hAnsi="Arial" w:cs="Arial"/>
          <w:b/>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"bookmark-18"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Key Executives</w:t>
        <w:tab/>
        <w:t>21</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"bookmark-19"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Board Members</w:t>
        <w:tab/>
        <w:t>44</w:t>
      </w:r>
      <w:r>
        <w:rPr>
          <w:rStyle w:val="DefaultParagraphFont"/>
          <w:rFonts w:ascii="Arial" w:eastAsia="Arial" w:hAnsi="Arial" w:cs="Arial"/>
          <w:b w:val="0"/>
          <w:i w:val="0"/>
          <w:color w:val="000000"/>
          <w:sz w:val="16"/>
          <w:u w:val="none"/>
        </w:rPr>
        <w:fldChar w:fldCharType="end"/>
      </w:r>
    </w:p>
    <w:p w:rsidR="00A77B3E">
      <w:pPr>
        <w:pStyle w:val="Normal0"/>
        <w:numPr>
          <w:ilvl w:val="0"/>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"bookmark-20"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Financials</w:t>
        <w:tab/>
        <w:t>47</w:t>
      </w:r>
      <w:r>
        <w:rPr>
          <w:rStyle w:val="DefaultParagraphFont"/>
          <w:rFonts w:ascii="Arial" w:eastAsia="Arial" w:hAnsi="Arial" w:cs="Arial"/>
          <w:b/>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"bookmark-21"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Key Stats</w:t>
        <w:tab/>
        <w:t>47</w:t>
      </w:r>
      <w:r>
        <w:rPr>
          <w:rStyle w:val="DefaultParagraphFont"/>
          <w:rFonts w:ascii="Arial" w:eastAsia="Arial" w:hAnsi="Arial" w:cs="Arial"/>
          <w:b w:val="0"/>
          <w:i w:val="0"/>
          <w:color w:val="000000"/>
          <w:sz w:val="16"/>
          <w:u w:val="none"/>
        </w:rPr>
        <w:fldChar w:fldCharType="end"/>
      </w:r>
    </w:p>
    <w:p w:rsidR="00A77B3E">
      <w:pPr>
        <w:pStyle w:val="Normal0"/>
        <w:numPr>
          <w:ilvl w:val="2"/>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"bookmark-22"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Key Financials</w:t>
        <w:tab/>
        <w:t>47</w:t>
      </w:r>
      <w:r>
        <w:rPr>
          <w:rStyle w:val="DefaultParagraphFont"/>
          <w:rFonts w:ascii="Arial" w:eastAsia="Arial" w:hAnsi="Arial" w:cs="Arial"/>
          <w:b w:val="0"/>
          <w:i w:val="0"/>
          <w:color w:val="000000"/>
          <w:sz w:val="16"/>
          <w:u w:val="none"/>
        </w:rPr>
        <w:fldChar w:fldCharType="end"/>
      </w:r>
    </w:p>
    <w:p w:rsidR="00A77B3E">
      <w:pPr>
        <w:pStyle w:val="Normal0"/>
        <w:numPr>
          <w:ilvl w:val="2"/>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"bookmark-23"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Current Capitalization</w:t>
        <w:tab/>
        <w:t>47</w:t>
      </w:r>
      <w:r>
        <w:rPr>
          <w:rStyle w:val="DefaultParagraphFont"/>
          <w:rFonts w:ascii="Arial" w:eastAsia="Arial" w:hAnsi="Arial" w:cs="Arial"/>
          <w:b w:val="0"/>
          <w:i w:val="0"/>
          <w:color w:val="000000"/>
          <w:sz w:val="16"/>
          <w:u w:val="none"/>
        </w:rPr>
        <w:fldChar w:fldCharType="end"/>
      </w:r>
    </w:p>
    <w:p w:rsidR="00A77B3E">
      <w:pPr>
        <w:pStyle w:val="Normal0"/>
        <w:numPr>
          <w:ilvl w:val="2"/>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"bookmark-24"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Valuation Multiples based on Current Capitalization</w:t>
        <w:tab/>
        <w:t>47</w:t>
      </w:r>
      <w:r>
        <w:rPr>
          <w:rStyle w:val="DefaultParagraphFont"/>
          <w:rFonts w:ascii="Arial" w:eastAsia="Arial" w:hAnsi="Arial" w:cs="Arial"/>
          <w:b w:val="0"/>
          <w:i w:val="0"/>
          <w:color w:val="000000"/>
          <w:sz w:val="16"/>
          <w:u w:val="none"/>
        </w:rPr>
        <w:fldChar w:fldCharType="end"/>
      </w:r>
    </w:p>
    <w:p w:rsidR="00A77B3E">
      <w:pPr>
        <w:pStyle w:val="Normal0"/>
        <w:numPr>
          <w:ilvl w:val="0"/>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"bookmark-25"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Refinitiv Estimates</w:t>
        <w:tab/>
        <w:t>49</w:t>
      </w:r>
      <w:r>
        <w:rPr>
          <w:rStyle w:val="DefaultParagraphFont"/>
          <w:rFonts w:ascii="Arial" w:eastAsia="Arial" w:hAnsi="Arial" w:cs="Arial"/>
          <w:b/>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"bookmark-26"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Consensus</w:t>
        <w:tab/>
        <w:t>49</w:t>
      </w:r>
      <w:r>
        <w:rPr>
          <w:rStyle w:val="DefaultParagraphFont"/>
          <w:rFonts w:ascii="Arial" w:eastAsia="Arial" w:hAnsi="Arial" w:cs="Arial"/>
          <w:b w:val="0"/>
          <w:i w:val="0"/>
          <w:color w:val="000000"/>
          <w:sz w:val="16"/>
          <w:u w:val="none"/>
        </w:rPr>
        <w:fldChar w:fldCharType="end"/>
      </w:r>
    </w:p>
    <w:p w:rsidR="00A77B3E">
      <w:pPr>
        <w:pStyle w:val="Normal0"/>
        <w:numPr>
          <w:ilvl w:val="0"/>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"bookmark-27"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Charts</w:t>
        <w:tab/>
        <w:t>54</w:t>
      </w:r>
      <w:r>
        <w:rPr>
          <w:rStyle w:val="DefaultParagraphFont"/>
          <w:rFonts w:ascii="Arial" w:eastAsia="Arial" w:hAnsi="Arial" w:cs="Arial"/>
          <w:b/>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"bookmark-28"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1-Year Price and Volume</w:t>
        <w:tab/>
        <w:t>54</w:t>
      </w:r>
      <w:r>
        <w:rPr>
          <w:rStyle w:val="DefaultParagraphFont"/>
          <w:rFonts w:ascii="Arial" w:eastAsia="Arial" w:hAnsi="Arial" w:cs="Arial"/>
          <w:b w:val="0"/>
          <w:i w:val="0"/>
          <w:color w:val="000000"/>
          <w:sz w:val="16"/>
          <w:u w:val="none"/>
        </w:rPr>
        <w:fldChar w:fldCharType="end"/>
      </w:r>
    </w:p>
    <w:p w:rsidR="00A77B3E">
      <w:pPr>
        <w:pStyle w:val="Normal0"/>
        <w:numPr>
          <w:ilvl w:val="0"/>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"bookmark-29"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Transactions</w:t>
        <w:tab/>
        <w:t>55</w:t>
      </w:r>
      <w:r>
        <w:rPr>
          <w:rStyle w:val="DefaultParagraphFont"/>
          <w:rFonts w:ascii="Arial" w:eastAsia="Arial" w:hAnsi="Arial" w:cs="Arial"/>
          <w:b/>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"bookmark-30"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Summary Public Offerings/Shelf Registrations</w:t>
        <w:tab/>
        <w:t>55</w:t>
      </w:r>
      <w:r>
        <w:rPr>
          <w:rStyle w:val="DefaultParagraphFont"/>
          <w:rFonts w:ascii="Arial" w:eastAsia="Arial" w:hAnsi="Arial" w:cs="Arial"/>
          <w:b w:val="0"/>
          <w:i w:val="0"/>
          <w:color w:val="000000"/>
          <w:sz w:val="16"/>
          <w:u w:val="none"/>
        </w:rPr>
        <w:fldChar w:fldCharType="end"/>
      </w:r>
    </w:p>
    <w:p w:rsidR="00A77B3E">
      <w:pPr>
        <w:pStyle w:val="Normal0"/>
        <w:numPr>
          <w:ilvl w:val="0"/>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"bookmark-31"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News</w:t>
        <w:tab/>
        <w:t>57</w:t>
      </w:r>
      <w:r>
        <w:rPr>
          <w:rStyle w:val="DefaultParagraphFont"/>
          <w:rFonts w:ascii="Arial" w:eastAsia="Arial" w:hAnsi="Arial" w:cs="Arial"/>
          <w:b/>
          <w:i w:val="0"/>
          <w:color w:val="000000"/>
          <w:sz w:val="16"/>
          <w:u w:val="none"/>
        </w:rPr>
        <w:fldChar w:fldCharType="end"/>
      </w:r>
    </w:p>
    <w:p w:rsidR="00A77B3E">
      <w:pPr>
        <w:pStyle w:val="Normal0"/>
        <w:numPr>
          <w:ilvl w:val="0"/>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"bookmark-32"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Direct Investments &amp; Subsidiaries</w:t>
        <w:tab/>
        <w:t>74</w:t>
      </w:r>
      <w:r>
        <w:rPr>
          <w:rStyle w:val="DefaultParagraphFont"/>
          <w:rFonts w:ascii="Arial" w:eastAsia="Arial" w:hAnsi="Arial" w:cs="Arial"/>
          <w:b/>
          <w:i w:val="0"/>
          <w:color w:val="000000"/>
          <w:sz w:val="16"/>
          <w:u w:val="none"/>
        </w:rPr>
        <w:fldChar w:fldCharType="end"/>
      </w:r>
    </w:p>
    <w:p w:rsidR="00A77B3E">
      <w:pPr>
        <w:pStyle w:val="Normal0"/>
        <w:numPr>
          <w:ilvl w:val="0"/>
          <w:numId w:val="1"/>
        </w:numPr>
        <w:tabs>
          <w:tab w:val="right" w:leader="dot" w:pos="10656"/>
        </w:tabs>
        <w:jc w:val="left"/>
        <w:rPr>
          <w:rStyle w:val="DefaultParagraphFont"/>
          <w:rFonts w:ascii="Arial" w:eastAsia="Arial" w:hAnsi="Arial" w:cs="Arial"/>
          <w:b/>
          <w:i w:val="0"/>
          <w:color w:val="000000"/>
          <w:sz w:val="16"/>
          <w:u w:val="none"/>
        </w:rPr>
        <w:sectPr>
          <w:headerReference w:type="default" r:id="rId4"/>
          <w:footerReference w:type="default" r:id="rId5"/>
          <w:pgSz w:w="12240" w:h="15840"/>
          <w:pgMar w:top="1440" w:right="792" w:bottom="1440" w:left="792" w:header="490" w:footer="619" w:gutter="0"/>
          <w:pgNumType w:start="1"/>
          <w:cols w:space="708"/>
          <w:docGrid w:linePitch="360"/>
        </w:sectPr>
      </w:pPr>
    </w:p>
    <w:p w:rsidR="00A77B3E">
      <w:pPr>
        <w:pStyle w:val="Normal1"/>
        <w:keepLines/>
        <w:rPr>
          <w:rStyle w:val="DefaultParagraphFont"/>
        </w:rPr>
      </w:pPr>
      <w:bookmarkStart w:id="0" w:name="bookmark-0"/>
      <w:r>
        <w:rPr>
          <w:rStyle w:val="DefaultParagraphFont"/>
          <w:rFonts w:ascii="Arial" w:eastAsia="Arial" w:hAnsi="Arial" w:cs="Arial"/>
          <w:b w:val="0"/>
          <w:i w:val="0"/>
          <w:color w:val="FFFFFF"/>
          <w:sz w:val="0"/>
          <w:u w:val="none"/>
        </w:rPr>
        <w:t>Bookmark</w:t>
      </w:r>
      <w:bookmarkEnd w:id="0"/>
      <w:bookmarkStart w:id="1" w:name="bookmark-1"/>
      <w:r>
        <w:rPr>
          <w:rStyle w:val="DefaultParagraphFont"/>
          <w:rFonts w:ascii="Arial" w:eastAsia="Arial" w:hAnsi="Arial" w:cs="Arial"/>
          <w:b w:val="0"/>
          <w:i w:val="0"/>
          <w:color w:val="FFFFFF"/>
          <w:sz w:val="0"/>
          <w:u w:val="none"/>
        </w:rPr>
        <w:t>Bookmark</w:t>
      </w:r>
      <w:bookmarkEnd w:id="1"/>
      <w:bookmarkStart w:id="2" w:name="bookmark-2"/>
      <w:r>
        <w:rPr>
          <w:rStyle w:val="DefaultParagraphFont"/>
          <w:rFonts w:ascii="Arial" w:eastAsia="Arial" w:hAnsi="Arial" w:cs="Arial"/>
          <w:b w:val="0"/>
          <w:i w:val="0"/>
          <w:color w:val="FFFFFF"/>
          <w:sz w:val="0"/>
          <w:u w:val="none"/>
        </w:rPr>
        <w:t>Bookmark</w:t>
      </w:r>
      <w:bookmarkEnd w:id="2"/>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Pr>
          <w:p w:rsidR="00A77B3E">
            <w:pPr>
              <w:pStyle w:val="Normal1"/>
              <w:keepLines/>
              <w:rPr>
                <w:rStyle w:val="DefaultParagraphFont"/>
                <w:rFonts w:ascii="Arial" w:eastAsia="Arial" w:hAnsi="Arial" w:cs="Arial"/>
                <w:b/>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vAlign w:val="center"/>
          </w:tcPr>
          <w:p w:rsidR="00A77B3E">
            <w:pPr>
              <w:pStyle w:val="Normal1"/>
              <w:keepLines/>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single"/>
              </w:rPr>
              <w:t>Ticker</w:t>
            </w:r>
          </w:p>
          <w:p w:rsidR="00A77B3E">
            <w:pPr>
              <w:pStyle w:val="Normal1"/>
              <w:keepLines/>
              <w:rPr>
                <w:rStyle w:val="DefaultParagraphFont"/>
                <w:rFonts w:ascii="Arial" w:eastAsia="Arial" w:hAnsi="Arial" w:cs="Arial"/>
                <w:b/>
                <w:i w:val="0"/>
                <w:color w:val="000000"/>
                <w:sz w:val="16"/>
                <w:u w:val="single"/>
              </w:rPr>
            </w:pPr>
          </w:p>
        </w:tc>
      </w:tr>
    </w:tbl>
    <w:p w:rsidR="00A77B3E">
      <w:pPr>
        <w:pStyle w:val="Normal1"/>
        <w:keepLines/>
        <w:rPr>
          <w:rStyle w:val="DefaultParagraphFont"/>
          <w:rFonts w:ascii="Arial" w:eastAsia="Arial" w:hAnsi="Arial" w:cs="Arial"/>
          <w:b/>
          <w:i w:val="0"/>
          <w:color w:val="000000"/>
          <w:sz w:val="16"/>
          <w:u w:val="none"/>
        </w:rPr>
        <w:sectPr>
          <w:headerReference w:type="default" r:id="rId6"/>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vAlign w:val="center"/>
          </w:tcPr>
          <w:p w:rsidR="00A77B3E">
            <w:pPr>
              <w:pStyle w:val="Normal1"/>
              <w:keepLines/>
              <w:rPr>
                <w:rStyle w:val="DefaultParagraphFont"/>
                <w:rFonts w:ascii="Arial" w:eastAsia="Arial" w:hAnsi="Arial" w:cs="Arial"/>
                <w:b/>
                <w:i w:val="0"/>
                <w:color w:val="000000"/>
                <w:sz w:val="18"/>
                <w:u w:val="single"/>
              </w:rPr>
            </w:pPr>
          </w:p>
          <w:p w:rsidR="00A77B3E">
            <w:pPr>
              <w:pStyle w:val="Normal1"/>
              <w:keepLines/>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BAC</w:t>
      </w:r>
    </w:p>
    <w:p w:rsidR="00A77B3E">
      <w:pPr>
        <w:pStyle w:val="Normal1"/>
        <w:keepLines/>
        <w:jc w:val="left"/>
        <w:rPr>
          <w:rStyle w:val="DefaultParagraphFont"/>
          <w:rFonts w:ascii="Arial" w:eastAsia="Arial" w:hAnsi="Arial" w:cs="Arial"/>
          <w:b w:val="0"/>
          <w:i w:val="0"/>
          <w:color w:val="000000"/>
          <w:sz w:val="16"/>
          <w:u w:val="none"/>
        </w:rPr>
      </w:pPr>
      <w:bookmarkStart w:id="3" w:name="bookmark-3"/>
      <w:r>
        <w:rPr>
          <w:rStyle w:val="DefaultParagraphFont"/>
          <w:rFonts w:ascii="Arial" w:eastAsia="Arial" w:hAnsi="Arial" w:cs="Arial"/>
          <w:b w:val="0"/>
          <w:i w:val="0"/>
          <w:color w:val="FFFFFF"/>
          <w:sz w:val="0"/>
          <w:u w:val="none"/>
        </w:rPr>
        <w:t>Bookmark</w:t>
      </w:r>
      <w:bookmarkEnd w:id="3"/>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Exchange</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New York Stock Exchange</w:t>
      </w:r>
    </w:p>
    <w:p w:rsidR="00A77B3E">
      <w:pPr>
        <w:pStyle w:val="Normal1"/>
        <w:keepLines/>
        <w:jc w:val="left"/>
        <w:rPr>
          <w:rStyle w:val="DefaultParagraphFont"/>
          <w:rFonts w:ascii="Arial" w:eastAsia="Arial" w:hAnsi="Arial" w:cs="Arial"/>
          <w:b w:val="0"/>
          <w:i w:val="0"/>
          <w:color w:val="000000"/>
          <w:sz w:val="16"/>
          <w:u w:val="none"/>
        </w:rPr>
      </w:pPr>
      <w:bookmarkStart w:id="4" w:name="bookmark-4"/>
      <w:r>
        <w:rPr>
          <w:rStyle w:val="DefaultParagraphFont"/>
          <w:rFonts w:ascii="Arial" w:eastAsia="Arial" w:hAnsi="Arial" w:cs="Arial"/>
          <w:b w:val="0"/>
          <w:i w:val="0"/>
          <w:color w:val="FFFFFF"/>
          <w:sz w:val="0"/>
          <w:u w:val="none"/>
        </w:rPr>
        <w:t>Bookmark</w:t>
      </w:r>
      <w:bookmarkEnd w:id="4"/>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Website</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www.bankofamerica.com</w:t>
      </w:r>
    </w:p>
    <w:p w:rsidR="00A77B3E">
      <w:pPr>
        <w:pStyle w:val="Normal1"/>
        <w:keepLines/>
        <w:jc w:val="left"/>
        <w:rPr>
          <w:rStyle w:val="DefaultParagraphFont"/>
          <w:rFonts w:ascii="Arial" w:eastAsia="Arial" w:hAnsi="Arial" w:cs="Arial"/>
          <w:b w:val="0"/>
          <w:i w:val="0"/>
          <w:color w:val="000000"/>
          <w:sz w:val="16"/>
          <w:u w:val="none"/>
        </w:rPr>
      </w:pPr>
      <w:bookmarkStart w:id="5" w:name="bookmark-5"/>
      <w:r>
        <w:rPr>
          <w:rStyle w:val="DefaultParagraphFont"/>
          <w:rFonts w:ascii="Arial" w:eastAsia="Arial" w:hAnsi="Arial" w:cs="Arial"/>
          <w:b w:val="0"/>
          <w:i w:val="0"/>
          <w:color w:val="FFFFFF"/>
          <w:sz w:val="0"/>
          <w:u w:val="none"/>
        </w:rPr>
        <w:t>Bookmark</w:t>
      </w:r>
      <w:bookmarkEnd w:id="5"/>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Year Founded</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1784</w:t>
      </w:r>
    </w:p>
    <w:p w:rsidR="00A77B3E">
      <w:pPr>
        <w:pStyle w:val="Normal1"/>
        <w:keepLines/>
        <w:jc w:val="left"/>
        <w:rPr>
          <w:rStyle w:val="DefaultParagraphFont"/>
          <w:rFonts w:ascii="Arial" w:eastAsia="Arial" w:hAnsi="Arial" w:cs="Arial"/>
          <w:b w:val="0"/>
          <w:i w:val="0"/>
          <w:color w:val="000000"/>
          <w:sz w:val="16"/>
          <w:u w:val="none"/>
        </w:rPr>
      </w:pPr>
      <w:bookmarkStart w:id="6" w:name="bookmark-6"/>
      <w:r>
        <w:rPr>
          <w:rStyle w:val="DefaultParagraphFont"/>
          <w:rFonts w:ascii="Arial" w:eastAsia="Arial" w:hAnsi="Arial" w:cs="Arial"/>
          <w:b w:val="0"/>
          <w:i w:val="0"/>
          <w:color w:val="FFFFFF"/>
          <w:sz w:val="0"/>
          <w:u w:val="none"/>
        </w:rPr>
        <w:t>Bookmark</w:t>
      </w:r>
      <w:bookmarkEnd w:id="6"/>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Company Status</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Operating</w:t>
      </w:r>
    </w:p>
    <w:p w:rsidR="00A77B3E">
      <w:pPr>
        <w:pStyle w:val="Normal1"/>
        <w:keepLines/>
        <w:jc w:val="left"/>
        <w:rPr>
          <w:rStyle w:val="DefaultParagraphFont"/>
          <w:rFonts w:ascii="Arial" w:eastAsia="Arial" w:hAnsi="Arial" w:cs="Arial"/>
          <w:b w:val="0"/>
          <w:i w:val="0"/>
          <w:color w:val="000000"/>
          <w:sz w:val="16"/>
          <w:u w:val="none"/>
        </w:rPr>
      </w:pPr>
      <w:bookmarkStart w:id="7" w:name="bookmark-7"/>
      <w:r>
        <w:rPr>
          <w:rStyle w:val="DefaultParagraphFont"/>
          <w:rFonts w:ascii="Arial" w:eastAsia="Arial" w:hAnsi="Arial" w:cs="Arial"/>
          <w:b w:val="0"/>
          <w:i w:val="0"/>
          <w:color w:val="FFFFFF"/>
          <w:sz w:val="0"/>
          <w:u w:val="none"/>
        </w:rPr>
        <w:t>Bookmark</w:t>
      </w:r>
      <w:bookmarkEnd w:id="7"/>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Number of Employees</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212,000</w:t>
      </w:r>
    </w:p>
    <w:p w:rsidR="00A77B3E">
      <w:pPr>
        <w:pStyle w:val="Normal1"/>
        <w:keepLines/>
        <w:jc w:val="left"/>
        <w:rPr>
          <w:rStyle w:val="DefaultParagraphFont"/>
          <w:rFonts w:ascii="Arial" w:eastAsia="Arial" w:hAnsi="Arial" w:cs="Arial"/>
          <w:b w:val="0"/>
          <w:i w:val="0"/>
          <w:color w:val="000000"/>
          <w:sz w:val="16"/>
          <w:u w:val="none"/>
        </w:rPr>
      </w:pPr>
      <w:bookmarkStart w:id="8" w:name="bookmark-8"/>
      <w:r>
        <w:rPr>
          <w:rStyle w:val="DefaultParagraphFont"/>
          <w:rFonts w:ascii="Arial" w:eastAsia="Arial" w:hAnsi="Arial" w:cs="Arial"/>
          <w:b w:val="0"/>
          <w:i w:val="0"/>
          <w:color w:val="FFFFFF"/>
          <w:sz w:val="0"/>
          <w:u w:val="none"/>
        </w:rPr>
        <w:t>Bookmark</w:t>
      </w:r>
      <w:bookmarkEnd w:id="8"/>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Business Description / Color Notes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20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i w:val="0"/>
                <w:color w:val="FFFFFF"/>
                <w:sz w:val="20"/>
                <w:u w:val="none"/>
              </w:rPr>
            </w:pPr>
          </w:p>
          <w:p w:rsidR="00A77B3E">
            <w:pPr>
              <w:pStyle w:val="Normal1"/>
              <w:keepLines/>
              <w:jc w:val="left"/>
              <w:rPr>
                <w:rStyle w:val="DefaultParagraphFont"/>
                <w:rFonts w:ascii="Arial" w:eastAsia="Arial" w:hAnsi="Arial" w:cs="Arial"/>
                <w:b/>
                <w:i w:val="0"/>
                <w:color w:val="FFFFFF"/>
                <w:sz w:val="20"/>
                <w:u w:val="none"/>
              </w:rPr>
            </w:pPr>
          </w:p>
        </w:tc>
      </w:tr>
    </w:tbl>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through its subsidiaries, provides various financial products and services for individual consumers, small and middle-market businesses, institutional investors, large corporations, and governments worldwide. It operates through four segments: Consumer Banking, Global Wealth &amp; Investment Management (GWIM), Global Banking, and Global Markets. The Consumer Banking segment offers traditional and money market savings accounts, certificates of deposit and IRAs, checking accounts, and investment accounts and products; credit and debit cards; residential mortgages and home equity loans; and direct and indirect loans. The GWIM segment provides investment management, brokerage, banking, and trust and retirement products and services; wealth management solutions; and customized solutions, including specialty asset management services. The Global Banking segment offers lending products and services, including commercial loans, leases, commitment facilities, trade finance, and commercial real estate and asset-based lending; treasury solutions, and underwriting and advisory services. The Global Markets segment provides market-making, financing, securities clearing, settlement, and custody services; securities and derivative products; and risk management products using interest rate, equity, credit, currency and commodity derivatives, foreign exchange, fixed-income, and mortgage-related products. Bank of America Corporation was founded in 1784 and is based in Charlotte, North Carolina.</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p w:rsidR="00A77B3E">
            <w:pPr>
              <w:pStyle w:val="Normal1"/>
              <w:keepLines/>
              <w:jc w:val="left"/>
              <w:rPr>
                <w:rStyle w:val="DefaultParagraphFont"/>
                <w:rFonts w:ascii="Arial" w:eastAsia="Arial" w:hAnsi="Arial" w:cs="Arial"/>
                <w:b w:val="0"/>
                <w:i w:val="0"/>
                <w:color w:val="000000"/>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pPr>
      <w:bookmarkStart w:id="9" w:name="bookmark-9"/>
      <w:r>
        <w:rPr>
          <w:rStyle w:val="DefaultParagraphFont"/>
          <w:rFonts w:ascii="Arial" w:eastAsia="Arial" w:hAnsi="Arial" w:cs="Arial"/>
          <w:b w:val="0"/>
          <w:i w:val="0"/>
          <w:color w:val="FFFFFF"/>
          <w:sz w:val="0"/>
          <w:u w:val="none"/>
        </w:rPr>
        <w:t>Bookmark</w:t>
      </w:r>
      <w:bookmarkEnd w:id="9"/>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Primary Industry</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Diversified Banks</w:t>
      </w:r>
    </w:p>
    <w:p w:rsidR="00A77B3E">
      <w:pPr>
        <w:pStyle w:val="Normal1"/>
        <w:keepLines/>
        <w:jc w:val="left"/>
        <w:rPr>
          <w:rStyle w:val="DefaultParagraphFont"/>
          <w:rFonts w:ascii="Arial" w:eastAsia="Arial" w:hAnsi="Arial" w:cs="Arial"/>
          <w:b w:val="0"/>
          <w:i w:val="0"/>
          <w:color w:val="000000"/>
          <w:sz w:val="16"/>
          <w:u w:val="none"/>
        </w:rPr>
      </w:pPr>
      <w:bookmarkStart w:id="10" w:name="bookmark-10"/>
      <w:r>
        <w:rPr>
          <w:rStyle w:val="DefaultParagraphFont"/>
          <w:rFonts w:ascii="Arial" w:eastAsia="Arial" w:hAnsi="Arial" w:cs="Arial"/>
          <w:b w:val="0"/>
          <w:i w:val="0"/>
          <w:color w:val="FFFFFF"/>
          <w:sz w:val="0"/>
          <w:u w:val="none"/>
        </w:rPr>
        <w:t>Bookmark</w:t>
      </w:r>
      <w:bookmarkEnd w:id="10"/>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Industry Classifications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10616"/>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Financials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            Diversified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Diversified Commercial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Financial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Capital Markets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Asset Management and Custody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Clearinghouses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Investment Advice</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Investment Funds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Investment Banking and Brokerage</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Investment Banking</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Merger and Acquisition Advisory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Private Placement Advisory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Security Underwriting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Debt Underwriting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Equity Underwriting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Securities and Commodities Markets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Security Brokers and Dealers</w:t>
            </w: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4"/>
          <w:u w:val="none"/>
        </w:rPr>
        <w:br/>
      </w: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SIC Codes</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6020 Commercial Banks | 6021 National Commercial Banks</w:t>
      </w:r>
    </w:p>
    <w:p w:rsidR="00A77B3E">
      <w:pPr>
        <w:pStyle w:val="Normal1"/>
        <w:keepLines/>
        <w:jc w:val="left"/>
        <w:rPr>
          <w:rStyle w:val="DefaultParagraphFont"/>
          <w:rFonts w:ascii="Arial" w:eastAsia="Arial" w:hAnsi="Arial" w:cs="Arial"/>
          <w:b w:val="0"/>
          <w:i w:val="0"/>
          <w:color w:val="000000"/>
          <w:sz w:val="16"/>
          <w:u w:val="none"/>
        </w:rPr>
      </w:pPr>
      <w:bookmarkStart w:id="11" w:name="bookmark-11"/>
      <w:r>
        <w:rPr>
          <w:rStyle w:val="DefaultParagraphFont"/>
          <w:rFonts w:ascii="Arial" w:eastAsia="Arial" w:hAnsi="Arial" w:cs="Arial"/>
          <w:b w:val="0"/>
          <w:i w:val="0"/>
          <w:color w:val="FFFFFF"/>
          <w:sz w:val="0"/>
          <w:u w:val="none"/>
        </w:rPr>
        <w:t>Bookmark</w:t>
      </w:r>
      <w:bookmarkEnd w:id="11"/>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Company Coverage</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588"/>
        <w:gridCol w:w="605"/>
        <w:gridCol w:w="1766"/>
        <w:gridCol w:w="5657"/>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Coverage List</w:t>
            </w:r>
          </w:p>
        </w:tc>
        <w:tc>
          <w:tcPr>
            <w:tcW w:w="3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Tier</w:t>
            </w:r>
          </w:p>
        </w:tc>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Status</w:t>
            </w:r>
          </w:p>
        </w:tc>
        <w:tc>
          <w:tcPr>
            <w:tcW w:w="29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Coverage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ValueLine 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Veerapaneni, Veera Venkata Chowdary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test 3</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HistUser314774, HistUser314774 HistUser314774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Pipeline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Kale, Rohan (Applications Consultant)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HPCQ42015</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Bansali, Ranjit Jain (Estimates Specialist)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HPCCQ12016</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High Risk</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Pinnamaraju, Suresh Kumar (Estimates Specialist)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Preprocess- Q2 2016</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Arava, Perraju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HPCQ22016</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Targeted</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Bansali, Ranjit Jain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Analyst Coverage list</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HistUser488902, HistUser488902 HistUser488902 (Lead)</w:t>
            </w:r>
            <w:r>
              <w:rPr>
                <w:rStyle w:val="DefaultParagraphFont"/>
                <w:rFonts w:ascii="Arial" w:eastAsia="Arial" w:hAnsi="Arial" w:cs="Arial"/>
                <w:b w:val="0"/>
                <w:i w:val="0"/>
                <w:color w:val="000000"/>
                <w:sz w:val="16"/>
                <w:u w:val="none"/>
              </w:rPr>
              <w:t xml:space="preserve">; </w:t>
            </w:r>
            <w:r>
              <w:rPr>
                <w:rStyle w:val="DefaultParagraphFont"/>
                <w:rFonts w:ascii="Arial" w:eastAsia="Arial" w:hAnsi="Arial" w:cs="Arial"/>
                <w:b w:val="0"/>
                <w:i w:val="0"/>
                <w:color w:val="008000"/>
                <w:sz w:val="16"/>
                <w:u w:val="none"/>
              </w:rPr>
              <w:t>Agnihotri, Praveen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FastTrackCompanies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Katari, Pandu Ranga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SP 500 7 13 2020</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Mintz, Joshua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Test</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Jadeja, Prithviraj Singh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FastFinancialsKeydevs6150Cos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Katari, Pandu Ranga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SNL Instn filings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Kondaveeti, Ramesh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GuardX Fundamentals - Coverage 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Aitha, Shiva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GuardX Fundamentals - Mains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Aitha, Shiva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GuardX Fundamentals - Supple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Aitha, Shiva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IsAuditorAvailable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Kalluri, Thirumala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Yahoo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Sabbella, Ganeswara Reddy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S1_TRUCOST_SP_1200</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Sharma, Deeksha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BankReg</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Kalluri, Thirumala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IndLead</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Kalluri, Thirumala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ESG_GWC_DocumentWorkflow</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Arora, Rohan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Data_Quality_QC _Top_RankCompanies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Nallan, Chakravarthula Venkata Krishna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Data_Quality_Marketdata QC _Top_RankCompanies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Pasunooti, Dharmender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CIQAsReportedCompanyCoverage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Kuppili, Suresh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Environmental Data SP Global BMI</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Pathak, Sakshi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Visible Alpha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Chavan, Sushant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SegmentsProLoader Migration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Thiruveedhula, Manohar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People Data - Project Core Company</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Patel, Nilesh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SnP_Core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Jain, Ishit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DQ_CF Coverage List</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Salla, Vinod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Corporate Profiles_HEAP Based Universe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Paspulati, Rakesh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People Data - HighACV</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Patel, Nilesh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Top Engagement 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MALLIK, ASHIISH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TEST_TEST_DIPANSHU</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Behl, Dipanshu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TestAmiq</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Khan, Amiq Ullah (Lead)</w:t>
            </w: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pPr>
      <w:bookmarkStart w:id="12" w:name="bookmark-12"/>
      <w:r>
        <w:rPr>
          <w:rStyle w:val="DefaultParagraphFont"/>
          <w:rFonts w:ascii="Arial" w:eastAsia="Arial" w:hAnsi="Arial" w:cs="Arial"/>
          <w:b w:val="0"/>
          <w:i w:val="0"/>
          <w:color w:val="FFFFFF"/>
          <w:sz w:val="0"/>
          <w:u w:val="none"/>
        </w:rPr>
        <w:t>Bookmark</w:t>
      </w:r>
      <w:bookmarkEnd w:id="12"/>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i w:val="0"/>
                <w:color w:val="FFFFFF"/>
                <w:sz w:val="16"/>
                <w:u w:val="none"/>
              </w:rPr>
              <w:t>Company Relationships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3506"/>
        <w:gridCol w:w="3569"/>
        <w:gridCol w:w="3540"/>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i w:val="0"/>
                <w:color w:val="000000"/>
                <w:sz w:val="16"/>
                <w:u w:val="none"/>
              </w:rPr>
              <w:t>Name</w:t>
            </w:r>
          </w:p>
        </w:tc>
        <w:tc>
          <w:tcPr>
            <w:tcW w:w="18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User</w:t>
            </w:r>
          </w:p>
        </w:tc>
        <w:tc>
          <w:tcPr>
            <w:tcW w:w="18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Type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8000"/>
                <w:sz w:val="16"/>
                <w:u w:val="none"/>
              </w:rPr>
              <w:t>A'Hearn, Matthew Richard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HistUser183948, HistUser183948 HistUser183948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A'Hearn, Matthew Richard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HistUser183948, HistUser183948 HistUser183948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Abayarathna, Sahan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HistUser183948, HistUser183948 HistUser183948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Abayarathna, Sahan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HistUser183948, HistUser183948 HistUser183948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Abayaratna, Piyanjali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Addas, William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Adler, David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Alexis, Rodolphe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Ali, Iftikhar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Allan,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Alonso, Maria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Alphin, J. Steele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Amin, Mack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Andrade, Kathie Jane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Arcoria, Renzo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Arguello, Al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Arnold, Rome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Assef, Karim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Asurad, Mike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HistUser11635, HistUser11635 HistUser11635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Atieh, Steve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Salaki, Robert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Aylieff,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Backwell, Michael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Baer, Gregory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Bahnken,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Bailin, David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Baillargeon,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Baird, Douglas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Banks, Keith Thomas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Barbosa, Carmen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O'Loughlin, Elizabeth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Barwell,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Baune,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Beberman, Rick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Bednar, Raymond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Beehler,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Benjelloun, Yassir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Benson, Mark Jarrett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Bentinck, Caspar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Benton, Jana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Berens, Harold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HistUser12078, HistUser12078 HistUser12078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Berkery, Thomas Gerard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Berman, Todd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Bernand, Alex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Berritto, Frank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Bertram,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Bessant, Catherine Pombier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Bettin, Gary 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Bhutani, Rommie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Bland,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Blauvelt, Joseph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Boggess, Spencer Norton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Boggess, Spencer Norton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Borthwick, Alastair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Borthwick, Alastair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Bowden, James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Bowman, Charles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Bowman, Charles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Boyle, Christina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Boyle, Christina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Brade, Lutz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Brennan, Anthony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Brenner, Teresa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Bright, Shawn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Brille, Brian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Brille, Brian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Brinkley, Amy Woods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Brinkley, Amy Woods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Paquette, Maria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Britt, Cliff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Broderick,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Brown, Andrew</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Brown, Katherine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Brown, Richard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Browning, Ann Hayes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Brumley, Fab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Buchan, Felicity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Buchan, Felicity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Buchanan, Michael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HistUser413530, HistUser413530 HistUser413530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Burdick, Kim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Byrne, John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Cappuccini,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Carey, William Charles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Carlson, Jack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HistUser550, HistUser550 HistUser550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Carney, Jeffrey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Carroll, Brian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Carroll, Brian 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Steinberg, Eran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Carter, Sharon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Caruso, Robert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Case, John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Castaldo,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Castillo,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Cha, Alexander 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Chagan, Matthew</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Patel, Moneil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Chalmers, Kenneth 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Rajiv, K.P</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Chiche, Liora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Chin, Voon-Fat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Cho, Charlie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 xml:space="preserve">Chou, Margaret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Clark, Matt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Clodfelter, Marci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Clymer, Robert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Coffin, Mary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Cohen, Beth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Coleman, Dennis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Coleman,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Collier, Kathryn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Coppock,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Cotty, Neil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Coulter, David Alan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HistUser63978, HistUser63978 HistUser63978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Coulter, David Alan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HistUser1838, HistUser1838 HistUser1838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Couper,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Cox-Johnson, Tim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Culp, Derek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Curl, Gregory Lynn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Curran, Michael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Curran, Michael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Curry, Steve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Curry, Steve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HistUser540, HistUser540 HistUser540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Dadoly, Gwen 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Dawson, Betty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 Sibert, Chris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Delaney, Kyle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Delelis, Alain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Delorenzo, Vincent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DeMelo, Paul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Desoer, Barbara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Dewan, Neil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HistUser222151, HistUser222151 HistUser222151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Dewing,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Dhanani, Nik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Dhulipala, Srini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Dillon, Derek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DiVirgilio, Doug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Doherty,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Doherty,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Dombret, Andreas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Dominick, Paula Ann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Donnelly, John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HistUser301731, HistUser301731 HistUser301731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Drescher, Melissa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Drury, James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DuBois, Jean-Luc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DuBois, Jean-Luc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Dullaghan, Tony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Echarte, Terri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Eisenhardt,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Elcock, Walter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Ellison, George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Epstein, Lauren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HistUser8708, HistUser8708 HistUser8708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Ewing, Jon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Eyre, Steven 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Fang, Karen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Feld, Peter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Ferrara, Ferruccio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Fiedorczyk, Mercinda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Filippone, David 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Filippone, David 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HistUser5996, HistUser5996 HistUser5996</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Finucane, Anne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Fisher, Kai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Fitzpatrick, Daniel 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Fleming, Gregory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Fleming, Gregory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Fong, Jeffrey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Forlenza,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Fornelli, Cynthia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Fossaceca,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Fox, William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Freeman, Scott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Frick,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Friedman, Brian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Gallery, Robert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Galletly, Angus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Gamper, Charles 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Gaucher, Philip 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Gervais, Joe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Gilliam, Allison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Ginsberg, Alan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Glass, Kevin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Godbold, Eugene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Goede, Bill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Golden, Justin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Goldman, David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Gonzalez, Manuel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Goode, Thomas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Goodman, Lawrence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Gosnell, Karen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Gotelli, Bob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Goulet, Claude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Grace, Caroline Sullivan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Gray, Richard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Greenstein, Betsey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Gregory, Jill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Griffin, Kevin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Griffin, Stephen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Grooms, Tracy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Guinn, Donald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Rajiv, K.P</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Gumier, Alessandro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Gupta, Sanjay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Hammonds, Bruce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Hampton, Simon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Hantho,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Harding, Jonathan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Hargrave, Michael 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Hargrave, Mike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Harjette, 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Haroldson, Jody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Hatfield, William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Heaps, Skip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Heckwolf, Len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Henderson, Charlie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Henderson, Charlie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Henkel, Hans-Olaf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HistUser413530, HistUser413530 HistUser413530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Herbert, Kai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Hester, Darrick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Heyworth, Richard Brian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Higginbotham, Richard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Hill, Bryan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Hillman, Verdell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Hilson, Robb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Hirschfield, Eric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Hirschfield, Eric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Hogan,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Hollender, Steven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Hollingdale, Alastair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Homeyer,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Hopper, Forbes Scofield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Horsey, Revell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HistUser540, HistUser540 HistUser540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Horsey, Revell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Horsey, Revell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HistUser547, HistUser547 HistUser547</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Howard, Eric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Huff, Michele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Hunter, Barry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Hutchins, Allen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Jackson,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Joers, Peter Dierks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Johnson, Joseph 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Jones, Michael Anthony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Jones, Milton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Jones, Rod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Kaiser, David 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Kaldor, Greg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Kamel, Hany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Ketelaar-Modugno, Jennifer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Ketter, Andrew</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HistUser11638, HistUser11638 HistUser11638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Kipp, Daniel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HistUser11640, HistUser11640 HistUser11640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Klaus, Jeffrey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Kowalski, Anthony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Krawcheck, Sallie Lee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Krawcheck, Sallie Lee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Lalis,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Lamkin, Janet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Lancelot, Shawn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Laney, G. Timothy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Lee, Chee-Pin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Lee, Philip 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Leet, Kenneth H.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Lemons, Brent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Leveque, Laurent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Levy, Mickey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Lewis, Kenneth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Liles,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Limberg, Ann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Lindemann, Craig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Lindon,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Linsz, Mark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Linsz, Mark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Little, Jason 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HistUser12078, HistUser12078 HistUser12078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Littlejohn, Scott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Lloyd, Rosie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Long, Bob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Long, Robert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HistUser63978, HistUser63978 HistUser63978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Long, Timothy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Lorenz,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Lorenz,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Lowe, Darren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MacDonald, Adam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MacPhee, Jennifer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Maellare, Simona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Magpiong, Jane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Magro, Tony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Magro,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HistUser547, HistUser547 HistUser547</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Magro,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HistUser11642, HistUser11642 HistUser11642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Magro,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Magro,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HistUser11646, HistUser11646 HistUser11646</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Maller,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Malone, Michael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Maloney, Timothy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Mandell, Christiane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Manwaring, Simon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Marhic, Yann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Marlowe, Elizabeth Brown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Marra, J.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Martin, James Chandler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Martin,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Martinez, Maria 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HistUser12513, HistUser12513 HistUser12513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Martinez, Odalis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Matteo, Maxine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Maxwell, Bill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Mayopoulos, Timothy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McCaffrey, Ted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McCarthy, Colm Martin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McCaskill, Darrin 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McCourt,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McDonough, Kristina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McGee, Liam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McHugh, Alan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McLaughlin,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McQuagge,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McSweeney, David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HistUser25582, HistUser25582 HistUser25582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McVay, M. Tory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McVeigh, James Patrick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Mercurio, Patricia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Merritt,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Messmann, Wendy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Meyer, Michael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Mitarotondo,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Mitchell,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Mixon, Arrington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Moge, Vincent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Montag, Thomas Kell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Montag, Thomas Kell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Montagner, Marc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Moore, Colin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Morales, Eusebio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Morris, Evan Benjamin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Morris, Richard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Morrison, Kevin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Moskos, John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Mostyn, William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Moulds, Jonathan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Moynihan, Brian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Moynihan, Brian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Moynihan, Brian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Muller, Walter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Mullet,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Murphy, Reed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Murray, Albert Quentin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Nardelli, Domenico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Negroni, Xavier Andres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Nguyen, Thong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Nichols, Carol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Niedzwiecki, Michael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Nitcholas, Mark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Oh, Susie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Ohayon, Eric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Ossig, Christian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Otstot, Kenny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Paden Jr., Charles 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Pagano, Jeffrey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Pani, Enrique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Parsons, 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Patel, Swaroop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Paulette, Toylonda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Payne, Denise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Peacher, Stephen Clarkson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Pearn, Frank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Pearn, Frank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HistUser11642, HistUser11642 HistUser11642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Perkins,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Peters, Robert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Petrino, Diann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Phillips, George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Piedra, Alberto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Pillsbury, Rebecca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Pitsor, Deon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Pitts, Kahwima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Plepler,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Plepler,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Pollack, Stephen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Pollina, Lisa Anne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Post, Hansi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Potter, Steven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Prager, Richard Leon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Preston, Margaret Mary V.</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Price, Joseph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Quinlan, Joseph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Ramos, Bernardo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Ransley, Michele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Ransom, Gregory Roland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Rappaport, Alan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Rawlins, Frank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Reed, Evan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Renard, Alexis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Renard, Alexis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Rensky, Filip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Reymann, Lucille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Reynolds, Douglas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Rice, Katy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HistUser11640, HistUser11640 HistUser11640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Rice, Katy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Riddell, J.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Ries, Anthony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Robertson, Brian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Romm, Glen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Rosen,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HistUser25582, HistUser25582 HistUser25582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Rosenbaum, Marco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Rosenfeld,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Rossi,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Rottner, Susan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Royther, Randall 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Rudis, David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Sack, Suzanne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Salley-Gudaitis, Nan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Sanchez, Jorge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Sanchez, Kimberly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Santiago, Milton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Saunders, Anne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Scafidi, Joseph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Schell,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Schleck, Peter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Schleusner, Robert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HistUser519, HistUser519 HistUser519</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Schmidt, Florian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Schneider, Steven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HistUser63978, HistUser63978 HistUser63978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Schneider, Steven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Schreck, Esteban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O'Loughlin, Elizabeth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Schroth, Siobhan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Schultz, Jack Randall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Schumacher, Nina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Scott, Amanda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Scott, Michael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Sedes, Denis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Seebacher, Gerhard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Selig, Stefan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Sevilla-Sacasa, Frances Aldrich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Shannon, Kevin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Sharma, Kamal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Sharpe, Bruce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Shaw, Tony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Shea, Edwin 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Shea, Edwin 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Shepherd, Michelle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Shinn, Tony 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Shinn, Tony 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Shoener, Karen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Shoener, Karen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Short, Ann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Shotzberger, Kurt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Patel, Moneil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Siletto, Joseph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HistUser550, HistUser550 HistUser550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Siletto, Joseph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HistUser546, HistUser546 HistUser546</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Silvestri, Steve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Sinche, Robert Miller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Skerrett, Steve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Slavitt, Josh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Sloan, Ellen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Smith, Doug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Smith, Gay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Smith, Gregg</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Smith, Gregg</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HistUser519, HistUser519 HistUser519</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Smith, Gregory 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Smith, Phil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Snuggs, Weymon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Sober, Charles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Sobers, Patrick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Sommer,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Sommer,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Sood,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HistUser25582, HistUser25582 HistUser25582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Sousoulas, George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Sowa, Kathie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Stanziale, Bruno</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Stein, John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Stein, Lisa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Steinberg, Dimitri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Stewart, Donald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Stickler,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Sturzenegger, Ron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Subaiah, Subin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Sullivan, Regina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Sullivan, Thomas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Suss, Steven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Swecker, Chris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Swift, Richard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Symbol, Stacy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Taliaferro, W. Lloyd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Tams, Julian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Taylor, R. Eugene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Teague, Teresa Anne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Tella Perez, Michael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testnikki, testnikkiboardmember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Test_Automation, Test_Automation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testnikki, TestNikkiqtweb</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Test_Automation, Test_Automation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testnikki, TestNikkiqtwebfresh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Test_Automation, Test_Automation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Thain, John Alexander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Thain, John Alexander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Thompkins, Morgan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Thompson, Cheryl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Tinelli, Matteo</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Tonetti, Richard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Trahan, Jennifer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Tsuyuky, Gary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Udechuku, Ike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Underhill, Simon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Ursano, Antonio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Van Bergh, M. Scott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Van Bergh, M. Scott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Van Dusen, Joel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Van Poznak,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Vergara, Eduardo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Vessey, Thomas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Vidaurri del Castillo, Tito Oscar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Vijayakumar, Kumaran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Viola, Marco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Voelker, Michael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von Parpart, Uwe Henke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Walker, Susan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Wall,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Walsdorf, Kurt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Wang, Steve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Warren, Lewis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Weaver, David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White, Simon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White, Thomas Gregory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Whitley, Laura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Whitney, Michael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Wilde,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Wilkerson, Kim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Wilkerson, Kim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Wilkinson, Ben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Williams, Charles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Wilpon, Lyle Jaeger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Wilson, Christopher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Wilson, Kenneth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Winer, 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Winn, Keith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Wong, Ian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Yacenda, Richard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Yeo, Han Sia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Yip, Tim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Yonack, Carol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Young, Janet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Young,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Young,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Yu, Kittie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Zilewicz, 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Zwerner, Brian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Research</w:t>
            </w: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2"/>
          <w:u w:val="none"/>
        </w:rPr>
        <w:br/>
      </w:r>
      <w:bookmarkStart w:id="13" w:name="bookmark-13"/>
      <w:r>
        <w:rPr>
          <w:rStyle w:val="DefaultParagraphFont"/>
          <w:rFonts w:ascii="Arial" w:eastAsia="Arial" w:hAnsi="Arial" w:cs="Arial"/>
          <w:b w:val="0"/>
          <w:i w:val="0"/>
          <w:color w:val="FFFFFF"/>
          <w:sz w:val="0"/>
          <w:u w:val="none"/>
        </w:rPr>
        <w:t>Bookmark</w:t>
      </w:r>
      <w:bookmarkEnd w:id="13"/>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i w:val="0"/>
                <w:color w:val="FFFFFF"/>
                <w:sz w:val="16"/>
                <w:u w:val="none"/>
              </w:rPr>
              <w:t>Company Notes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20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FFFFFF"/>
                <w:sz w:val="20"/>
                <w:u w:val="none"/>
              </w:rPr>
            </w:pPr>
          </w:p>
          <w:p w:rsidR="00A77B3E">
            <w:pPr>
              <w:pStyle w:val="Normal1"/>
              <w:keepLines/>
              <w:jc w:val="left"/>
              <w:rPr>
                <w:rStyle w:val="DefaultParagraphFont"/>
                <w:rFonts w:ascii="Arial" w:eastAsia="Arial" w:hAnsi="Arial" w:cs="Arial"/>
                <w:b/>
                <w:i w:val="0"/>
                <w:color w:val="FFFFFF"/>
                <w:sz w:val="20"/>
                <w:u w:val="none"/>
              </w:rPr>
            </w:pP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8000"/>
          <w:sz w:val="16"/>
          <w:u w:val="none"/>
        </w:rPr>
        <w:t>This is a note</w:t>
      </w:r>
    </w:p>
    <w:p w:rsidR="00A77B3E">
      <w:pPr>
        <w:pStyle w:val="Normal1"/>
        <w:keepLines/>
        <w:jc w:val="left"/>
        <w:rPr>
          <w:rStyle w:val="DefaultParagraphFont"/>
          <w:rFonts w:ascii="Arial" w:eastAsia="Arial" w:hAnsi="Arial" w:cs="Arial"/>
          <w:b w:val="0"/>
          <w:i w:val="0"/>
          <w:color w:val="000000"/>
          <w:sz w:val="16"/>
          <w:u w:val="none"/>
        </w:rPr>
      </w:pPr>
      <w:bookmarkStart w:id="14" w:name="bookmark-14"/>
      <w:r>
        <w:rPr>
          <w:rStyle w:val="DefaultParagraphFont"/>
          <w:rFonts w:ascii="Arial" w:eastAsia="Arial" w:hAnsi="Arial" w:cs="Arial"/>
          <w:b w:val="0"/>
          <w:i w:val="0"/>
          <w:color w:val="FFFFFF"/>
          <w:sz w:val="0"/>
          <w:u w:val="none"/>
        </w:rPr>
        <w:t>Bookmark</w:t>
      </w:r>
      <w:bookmarkEnd w:id="14"/>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Strategy Notes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20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FFFFFF"/>
                <w:sz w:val="20"/>
                <w:u w:val="none"/>
              </w:rPr>
            </w:pPr>
          </w:p>
          <w:p w:rsidR="00A77B3E">
            <w:pPr>
              <w:pStyle w:val="Normal1"/>
              <w:keepLines/>
              <w:jc w:val="left"/>
              <w:rPr>
                <w:rStyle w:val="DefaultParagraphFont"/>
                <w:rFonts w:ascii="Arial" w:eastAsia="Arial" w:hAnsi="Arial" w:cs="Arial"/>
                <w:b/>
                <w:i w:val="0"/>
                <w:color w:val="FFFFFF"/>
                <w:sz w:val="20"/>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8000"/>
          <w:sz w:val="16"/>
          <w:u w:val="none"/>
        </w:rPr>
        <w:t xml:space="preserve">This is BAC </w:t>
      </w:r>
    </w:p>
    <w:p w:rsidR="00A77B3E">
      <w:pPr>
        <w:pStyle w:val="Normal1"/>
        <w:keepLines/>
        <w:jc w:val="left"/>
        <w:rPr>
          <w:rStyle w:val="DefaultParagraphFont"/>
          <w:rFonts w:ascii="Arial" w:eastAsia="Arial" w:hAnsi="Arial" w:cs="Arial"/>
          <w:b w:val="0"/>
          <w:i w:val="0"/>
          <w:color w:val="000000"/>
          <w:sz w:val="16"/>
          <w:u w:val="none"/>
        </w:rPr>
      </w:pPr>
      <w:bookmarkStart w:id="15" w:name="bookmark-15"/>
      <w:r>
        <w:rPr>
          <w:rStyle w:val="DefaultParagraphFont"/>
          <w:rFonts w:ascii="Arial" w:eastAsia="Arial" w:hAnsi="Arial" w:cs="Arial"/>
          <w:b w:val="0"/>
          <w:i w:val="0"/>
          <w:color w:val="FFFFFF"/>
          <w:sz w:val="0"/>
          <w:u w:val="none"/>
        </w:rPr>
        <w:t>Bookmark</w:t>
      </w:r>
      <w:bookmarkEnd w:id="15"/>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Primary Office Location</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8000"/>
          <w:sz w:val="16"/>
          <w:u w:val="none"/>
        </w:rPr>
        <w:t>Park street</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8000"/>
          <w:sz w:val="16"/>
          <w:u w:val="none"/>
        </w:rPr>
        <w:t>Abbottstown, Connecticut 16278</w:t>
      </w:r>
    </w:p>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United States</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p w:rsidR="00A77B3E">
            <w:pPr>
              <w:pStyle w:val="Normal1"/>
              <w:keepLines/>
              <w:jc w:val="left"/>
              <w:rPr>
                <w:rStyle w:val="DefaultParagraphFont"/>
                <w:rFonts w:ascii="Arial" w:eastAsia="Arial" w:hAnsi="Arial" w:cs="Arial"/>
                <w:b w:val="0"/>
                <w:i w:val="0"/>
                <w:color w:val="000000"/>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Bank of America Corporate Center</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100 North Tryon Street</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Charlotte, North Carolina 28255</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United States</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Main Phone: (704) 386-5681</w:t>
      </w:r>
    </w:p>
    <w:p w:rsidR="00A77B3E">
      <w:pPr>
        <w:pStyle w:val="Normal1"/>
        <w:keepLines/>
        <w:jc w:val="left"/>
        <w:rPr>
          <w:rStyle w:val="DefaultParagraphFont"/>
          <w:rFonts w:ascii="Arial" w:eastAsia="Arial" w:hAnsi="Arial" w:cs="Arial"/>
          <w:b w:val="0"/>
          <w:i w:val="0"/>
          <w:color w:val="000000"/>
          <w:sz w:val="16"/>
          <w:u w:val="none"/>
        </w:rPr>
      </w:pPr>
      <w:bookmarkStart w:id="16" w:name="bookmark-16"/>
      <w:r>
        <w:rPr>
          <w:rStyle w:val="DefaultParagraphFont"/>
          <w:rFonts w:ascii="Arial" w:eastAsia="Arial" w:hAnsi="Arial" w:cs="Arial"/>
          <w:b w:val="0"/>
          <w:i w:val="0"/>
          <w:color w:val="FFFFFF"/>
          <w:sz w:val="0"/>
          <w:u w:val="none"/>
        </w:rPr>
        <w:t>Bookmark</w:t>
      </w:r>
      <w:bookmarkEnd w:id="16"/>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Office Locations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3509"/>
        <w:gridCol w:w="3554"/>
        <w:gridCol w:w="3554"/>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75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Headquarters</w:t>
            </w:r>
            <w:r>
              <w:rPr>
                <w:rStyle w:val="DefaultParagraphFont"/>
                <w:rFonts w:ascii="Arial" w:eastAsia="Arial" w:hAnsi="Arial" w:cs="Arial"/>
                <w:b/>
                <w:i w:val="0"/>
                <w:color w:val="000000"/>
                <w:sz w:val="2"/>
                <w:u w:val="none"/>
              </w:rPr>
              <w:br/>
            </w:r>
            <w:r>
              <w:rPr>
                <w:rStyle w:val="DefaultParagraphFont"/>
                <w:rFonts w:ascii="Arial" w:eastAsia="Arial" w:hAnsi="Arial" w:cs="Arial"/>
                <w:b w:val="0"/>
                <w:i w:val="0"/>
                <w:color w:val="008000"/>
                <w:sz w:val="16"/>
                <w:u w:val="none"/>
              </w:rPr>
              <w:t>Park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Abbottstown, Connecticut 16278</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i w:val="0"/>
                <w:color w:val="000000"/>
                <w:sz w:val="16"/>
                <w:u w:val="none"/>
              </w:rPr>
              <w:t>Headquarters</w:t>
            </w:r>
            <w:r>
              <w:rPr>
                <w:rStyle w:val="DefaultParagraphFont"/>
                <w:rFonts w:ascii="Arial" w:eastAsia="Arial" w:hAnsi="Arial" w:cs="Arial"/>
                <w:b/>
                <w:i w:val="0"/>
                <w:color w:val="000000"/>
                <w:sz w:val="2"/>
                <w:u w:val="none"/>
              </w:rPr>
              <w:br/>
            </w:r>
            <w:r>
              <w:rPr>
                <w:rStyle w:val="DefaultParagraphFont"/>
                <w:rFonts w:ascii="Arial" w:eastAsia="Arial" w:hAnsi="Arial" w:cs="Arial"/>
                <w:b w:val="0"/>
                <w:i w:val="0"/>
                <w:color w:val="000000"/>
                <w:sz w:val="16"/>
                <w:u w:val="none"/>
              </w:rPr>
              <w:t>Bank of America Corporate Center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100 North Tryon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Charlotte, North Carolina 28255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(704) 386-5681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8000"/>
                <w:sz w:val="16"/>
                <w:u w:val="none"/>
              </w:rPr>
              <w:t>Buenos Aires, Buenos Aires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Argentina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Sydney, New South Wales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Australia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15/F Citibank Tower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Citibank Plaza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15/F Citibank Tower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 Queens Road Central, 38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Citibank Tower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3 Garden Road, Central</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Level 39, Cheung Kong Center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2 Queens Rd, Central</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Gurgaon</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delhi 560061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B.A Continuum</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unitech Infospace gurgaon</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Gurgaon 122001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SEZ Infosapace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Gurgaon</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Gurgaon 122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India, 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Hitec City 500038</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Bank of America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Hitec City Madhapur, 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BA Continum</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5A building. Mindspace.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5A building. Mindspace.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500029</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K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Mind Space, Hitech City, 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500001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Building NO 5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Hitech City</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hitech City, Raheja mindspace,hyderabad A.P</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Hitect city,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Hyderabd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Mind Space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mind space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rehaja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500039</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plot no-307,sagar housing complex</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BN Reddy nagar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17-2-1195/1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rain bazaar,yakutpura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500023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Mind Space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Hitec City, 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A.P, India.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Andheri Kurla Road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Andheri</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Mumbai 400062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Tower 1, Phase 2, Logitech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Andheri Kurla Road, Marol</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Andheri East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Mumbai, Maharashtra 400 072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Tokyo</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Japan</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1-4-1 NIHONBASHI,  CHUO-KU</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Tokyo</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Japan</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Nihonbashi 1-chome Mitsui Building 1-4-1 Nihonbashi, Chuo-ku</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Tokyo 103-8230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Japan</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Stockerhof</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Stockerstrasse 23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Zurich 8002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Switzerland</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MLFC</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2 King Edward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London EC1A 1HQ</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Kingdom</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London</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Kingdom</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Abbotsford, Arkansas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1001 Page Mill Road, Building 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Palo Alto, California 94304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600 Montgomery Street, 13th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San Francisco, California 94111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800-227-4786</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ergtwre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gwerg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ewrgwe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Grabill, Connecticut 243523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23452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Fax: 52435</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Hartford, Connecticut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231 S LASALLE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MAIL CODE IL 1-231-14-04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9256755620</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MARKET DATA - IL1-003-28-50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233 S WACKER DRIVE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606066306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3128282345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Fax: 3122343227</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231 S LaSalle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312-828-2345</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Chicago, Illinois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135 S La Salle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60625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135 S LaSalle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Bank of America, N.A., IL1-231-08-01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231 S. LaSalle St., 8th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100 Federal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Boston, Massachusetts 02110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p>
        </w:tc>
        <w:tc>
          <w:tcPr>
            <w:tcW w:w="180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MA5-100-09-08</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100 Federal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Boston, Massachusetts 02110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447 E 12th 307</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Charlotte, Missouri 28206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14 Buckingham Drive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Londonderry, New Hampshire 03053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8 East Sutton Ave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Moorestown, New Jersey 08057</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Mexico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10th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11th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3rd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NY1-100-09-01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10065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1111 Avenue of the Americas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4 World Financial Center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10080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249 East 48th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10017</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214 North Tryon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Nationsbank Corporate Center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100 N Tryon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Charlotte, North Carolina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888-279-3457</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101 SOUTH TRYON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NC1-002-10-15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7042090543</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Financial Plaza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Providence, Rhode Island 02903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One Financial Plaza, 5th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Providence, Rhode Island 02903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One Financial Plaza, 8th fl</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Mail Code: RI1-537-08-02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Providence, Rhode Island 02903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0000"/>
                <w:sz w:val="16"/>
                <w:u w:val="none"/>
              </w:rPr>
              <w:t>Level 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120 Collins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Melbourne, Victoria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Australia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61 3 9659 2222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Faria Lima Financial Center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Av Brigadeiro Faria Lima 3400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18º andar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Itaim Bibi</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São Paulo, São Paulo</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Brazil</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Faria Lima Financial Center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Av Brigadeiro Faria Lima 3400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18º andar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Itaim Bibi</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São Paulo, São Paulo 04538-132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Brazil</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Bow Valley Square III</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Suite 2620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255 5th Avenue South West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Calgary, Alberta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Canada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(403) 231-7300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(403) 237-7372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Brookfield Place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Wellington Tower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181 Bay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Floor 4 and 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Toronto, Ontario</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Canada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1250 Rene Levesque Boulevard West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Suite 3715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Montreal, Quebec</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Canada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(514) 846-1050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(514) 846-3591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Avenue Apoquindo 2827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Santiago, Region Metropolitana (Santiago)</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Chile</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26/F China World Tower 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China World Trade Center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No. 1 Jian Guo Men Wai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Beijing, Beijing Province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China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86 10 6505 3508</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86 10 6505 3509</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51 Rue La Boétie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Paris, Ile-de-France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France</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Neue Mainzer Strasse 52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Frankfurt am Main, Hessen</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Germany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44 20 8695 3386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44 69 5 89 91 262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Neue Mainzer Strasse 52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Frankfurt am Main, Hessen 60311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Germany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44 20 8695 3386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44 69 5 89 91 262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Block A, Building 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Unitech Infospace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Dundahera, Sector 21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Old Delhi – JAIPUR Highway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Gurugram, Haryana 122001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India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Block A, Building 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Unitech Infospace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Dundahera, Sector 21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Old Delhi – JAIPUR Highway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Gurugram, Haryana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India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18 floor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One BKC</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 Block</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BKC</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Mumbai, Maharashtra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India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Tower 1, Phase 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Logitech Park, Andheri Kurla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Marol</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Andheri East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Mumbai, Maharashtra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India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Tokyo, Tokyo</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Japan</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50 COLLYER QUAY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Singapore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Singapore</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50 COLLYER QUAY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Singapore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Singapore</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 Elmfield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Bromley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Kingdom</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 Canada Square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London</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Kingdom</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44 20 7174 4000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44 20 7174 6489</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 Elmfield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Bromley, Greater London BR1 1LR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Kingdom</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 Canada Square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London, Greater London E14 5AQ</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Kingdom</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44 20 7174 4000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44 20 7174 6489</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201 East Washington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Phoenix, Arizona 85004-2428</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620 Main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Half Moon Bay, California 94019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(650) 726-4476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(650) 726-7983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Bank of America Plaza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333 South Hope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Suite 100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Los Angeles, California 90071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(213) 312-9000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(213) 580-8393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1601 I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Modesto, California 95354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(209) 578-6012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180 Grand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Oakland, California 94612-3731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530 Luytton Avene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Palo Alto, California 94301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(650) 566-8331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101 South Marengo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Pasadena, California 91101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555 California 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 Francisco, California 94104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p>
        </w:tc>
        <w:tc>
          <w:tcPr>
            <w:tcW w:w="180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315 Montgomery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13th Floor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 Francisco, California 94104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(415) 622-0283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555 California 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 Francisco, California 94104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99 South Fourth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 Jose, California 95113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(408) 277-7980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10 Santa Rosa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Santa Rosa, California 95404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(707) 525-2223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9137 Westview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Lone Tree, Colorado 80124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185 Asylum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Hartford, Connecticut 06103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(860) 251-6925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(860) 952-7341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P.O. Box 15019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Wilmington, Delaware 19850-5019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355 Alhambra Cir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Coral Gables, Florida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4802 Deer lake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Jacksonville, Florida 32246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2775 SW 28th Terrace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Miami, Florida 33133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(800) 432-1000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(800) 432-1000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390 North Orange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Orlando, Florida 32801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231 Peachtree Street NE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Atlanta, Georgia 30303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(404) 332-2700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(404) 332-2701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231 Peachtree Street NE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Atlanta, Georgia 30303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404 332 2700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404 332 2701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201 South State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Chicago, Illinois 60604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(312) 922-9600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(312) 583-9202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201 South State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Chicago, Illinois 60604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312 922 9600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312 583 9202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100 South Charles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Baltimore, Maryland 21201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(410) 547-4403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11810 Grand Park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7th Floor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North Bethesda, Maryland 20852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60 State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Boston, Massachusetts 02109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(617) 723-8506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(617) 367-8164</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60 State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Boston, Massachusetts 02109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617 723 8506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617 367 8164</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765 Chief Justice Cushing Hwy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Cohasset, Massachusetts 02025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1200 Main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Kansas City, Missouri 64105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(816) 979-6677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(816) 979-7457</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101 Hudson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Jersey City, New Jersey 07302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1200 American Blvd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Installation Mail Stop: NJ2-120-01-28</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Pennington, New Jersey 08534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Plainsboro, New Jersey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845 Alexander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Princeton, New Jersey 08540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50 Fountain Plaza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Buffalo, New York</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300 Broad Hollow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Melville, New York 11747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(800) 878-7878</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168 Church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New York, New York 10017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261 Broadway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New York, New York 10007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(212) 393-1030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168 Church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New York, New York 10017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261 Broadway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New York, New York 10007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212 393 1030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620 S Tryon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Charlotte, North Carolina 28255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620 S Tryon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Charlotte, North Carolina 28255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800 West Trade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Charlotte, North Carolina 28255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421 Fayetteville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Raleigh, North Carolina 27601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312 Walnut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Cincinnati, Ohio 45202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(513) 929-3421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121 South West Morrison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Portland, Oregon 97204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1600 JFK Boulevard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Philadelphia, Pennsylvania 19103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436 Seventh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Pittsburgh, Pennsylvania 15219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 Financial Plz</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Providence, Rhode Island 02903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 Financial Plz</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Providence, Rhode Island 02903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414 Union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Nashville, Tennessee 37219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16001 Dallas Parkway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Addison, Texas 75001-3311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901 Main Street Lower Level</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Dallas, Texas 75202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(214) 209-1370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(214) 209-1743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901 Main Street Lower Level</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Dallas, Texas 75202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214 209 1370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214 209 1743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 Greenway Plaza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Houston, Texas 77046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 Greenway Plaza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Houston, Texas 77046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1111 East Main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Richmond, Virginia 23219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(804) 788-2121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701 5th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Seattle, Washington 98104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(206) 358-7800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20975 Swenson Drive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Waukesha, Wisconsin 53186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bookmarkStart w:id="17" w:name="bookmark-1End"/>
      <w:r>
        <w:rPr>
          <w:rStyle w:val="DefaultParagraphFont"/>
          <w:rFonts w:ascii="Arial" w:eastAsia="Arial" w:hAnsi="Arial" w:cs="Arial"/>
          <w:b w:val="0"/>
          <w:i w:val="0"/>
          <w:color w:val="FFFFFF"/>
          <w:sz w:val="0"/>
          <w:u w:val="none"/>
        </w:rPr>
        <w:t>Bookmark</w:t>
      </w:r>
      <w:bookmarkEnd w:id="17"/>
    </w:p>
    <w:p w:rsidR="00A77B3E">
      <w:pPr>
        <w:pStyle w:val="Normal2"/>
        <w:keepLines/>
        <w:rPr>
          <w:rStyle w:val="DefaultParagraphFont"/>
        </w:rPr>
      </w:pPr>
      <w:bookmarkStart w:id="18" w:name="bookmark-17"/>
      <w:r>
        <w:rPr>
          <w:rStyle w:val="DefaultParagraphFont"/>
          <w:rFonts w:ascii="Arial" w:eastAsia="Arial" w:hAnsi="Arial" w:cs="Arial"/>
          <w:b w:val="0"/>
          <w:i w:val="0"/>
          <w:color w:val="FFFFFF"/>
          <w:sz w:val="0"/>
          <w:u w:val="none"/>
        </w:rPr>
        <w:t>Bookmark</w:t>
      </w:r>
      <w:bookmarkEnd w:id="18"/>
      <w:bookmarkStart w:id="19" w:name="bookmark-18"/>
      <w:r>
        <w:rPr>
          <w:rStyle w:val="DefaultParagraphFont"/>
          <w:rFonts w:ascii="Arial" w:eastAsia="Arial" w:hAnsi="Arial" w:cs="Arial"/>
          <w:b w:val="0"/>
          <w:i w:val="0"/>
          <w:color w:val="FFFFFF"/>
          <w:sz w:val="0"/>
          <w:u w:val="none"/>
        </w:rPr>
        <w:t>Bookmark</w:t>
      </w:r>
      <w:bookmarkEnd w:id="19"/>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2"/>
              <w:keepLines/>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2"/>
              <w:keepLines/>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Key Executives</w:t>
            </w:r>
          </w:p>
          <w:p w:rsidR="00A77B3E">
            <w:pPr>
              <w:pStyle w:val="Normal2"/>
              <w:keepLines/>
              <w:rPr>
                <w:rStyle w:val="DefaultParagraphFont"/>
                <w:rFonts w:ascii="Arial" w:eastAsia="Arial" w:hAnsi="Arial" w:cs="Arial"/>
                <w:b/>
                <w:i w:val="0"/>
                <w:color w:val="FFFFFF"/>
                <w:sz w:val="16"/>
                <w:u w:val="none"/>
              </w:rPr>
            </w:pPr>
          </w:p>
        </w:tc>
      </w:tr>
    </w:tbl>
    <w:p w:rsidR="00A77B3E">
      <w:pPr>
        <w:pStyle w:val="Normal2"/>
        <w:keepLines/>
        <w:rPr>
          <w:rStyle w:val="DefaultParagraphFont"/>
          <w:rFonts w:ascii="Arial" w:eastAsia="Arial" w:hAnsi="Arial" w:cs="Arial"/>
          <w:b w:val="0"/>
          <w:i w:val="0"/>
          <w:color w:val="000000"/>
          <w:sz w:val="16"/>
          <w:u w:val="none"/>
        </w:rPr>
        <w:sectPr>
          <w:headerReference w:type="default" r:id="rId7"/>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1693"/>
        <w:gridCol w:w="3124"/>
        <w:gridCol w:w="2581"/>
        <w:gridCol w:w="1650"/>
        <w:gridCol w:w="1568"/>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Name</w:t>
            </w:r>
          </w:p>
        </w:tc>
        <w:tc>
          <w:tcPr>
            <w:tcW w:w="18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Title</w:t>
            </w:r>
          </w:p>
        </w:tc>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Email Address</w:t>
            </w:r>
          </w:p>
        </w:tc>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Direct Phone</w:t>
            </w:r>
          </w:p>
        </w:tc>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Office Address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Adams, Breezy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Amarillo &amp; Head of the Market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Ahdunko, Jamie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Reno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Ahmad, Faiz 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Albright, Heather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Arkansas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Anaya, Raul 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Local Markets Strategy &amp; President of Greater Los Angeles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Anceau, Olivier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GPS Asia Pacific SPS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Ankrom, Michael C.</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Resiliency Officer of Global Strategic Enablement &amp; Transformation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Arcot, Satish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Capital Markets Business in India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Athanasia, Dean C.</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Co-President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dean.athanasia@bofa.com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Backwell, Michael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Principal of Credit and Structured Sales - UK and Ireland</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Bader, David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Austin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david.bader@calpers.ca.gov</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(415) 788-9300</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Balakrishnan, Rajnarayan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Chair of Global Corporate &amp;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Banerjee, Kaushik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Managing Director-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Baronoff, Steven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Chairman of Global Mergers &amp; Acquisitions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Benefield, Seth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Business Capital &amp; Asset-Based Financing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Bennett, Mark 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Jacksonville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Bettamio, Alexandre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 of Global Corporate &amp;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Bhandari, Rahul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Private Capital Markets of EMEA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Bilgi-Zapparoli, Elif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International Client Strategy</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Borthwick, Alastair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Executive VP &amp; CFO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alastair.borthwick@bofa.com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Botkin, Len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Audit Executive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Brady, Geoff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Trade &amp; Supply Chain Finance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Bright, Shawn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Executive Officer and Assistant Banking Center Manager of Consumer Bank</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Bronstein, Joshua W.</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Talent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Bronstein, Sheri B.</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People Officer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Brown, Andrew</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 xml:space="preserve">Head of Strategy, Architecture &amp; Optimization and Senior Vice President   </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Brown, Katherine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Managing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Browning-Platt, Candace Elizabeth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Chair of the Bank of America Institute &amp; Head of Global Research</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candace.browning@bofa.com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(646) 855-5941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Brunner, Kevin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Technology, Media &amp; Telecommunications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Busconi, Jeffrey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Corporate Strategy &amp; Operational Excellence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Bush, Marilyn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St. Louis Market President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Cannon, Matt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Investment Banking-Europe, Middle East &amp; Africa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Carosielli, Brian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Credit Trading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Channels, Christine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Community Banking and Consumer Governance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Chatman, Trevia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Memphis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Chen, Winnie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Payments Solutions for The Asia Pacific Region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 xml:space="preserve">Chou, Margaret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Vice President of Global Treasury Services Taiwan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Cline, Terry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Market President for Knoxville &amp; Business Banking Market Executive for Greater Tennessee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Clyde, Lisa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Capital Market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Cockrell, Kieth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Charlotte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Compton, Marc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MD, Market Executive of Private Banking and President of Oregon &amp; Southwest Washington Market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Cook, Rita Sola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Chicago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Cornell, David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Market President - Albany/Hudson Valley region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Courbon, Stephane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Chairman of Corporate &amp; Investment Banking for France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Cox, Greg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Triad</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Curran, Michael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Executive Vice President of Global Treasury Services and Head of Global Corporate Banking Sales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Currie, Janet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Greater Maryland Market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Dacquisto, Jennifer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Monterey Bay</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DeMare, James P.</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Co-President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Di Rita, Lawrence 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Public Policy &amp; Market President of Greater Washington, D.C.</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Diedrichsen, Andrew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Senior VP of Business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Donde, Mandar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Corporate &amp; Investment Banking - India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Donofrio, Paul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Chairman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Dowd, David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Asheville &amp; Senior VP of Business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Droesch, Mary Hines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Consumer &amp; Small Business Products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Dunn, Kempton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Managing Director of Software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Edelmann, Jason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Fort Lauderdale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Engelbrekts, Olof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investment banking at Switzerland</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Esposito, Michael 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Tampa Bay &amp; Head of the Market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Fabro, Christopher J.</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Global HR Executive and Head of Global Compensation &amp; Benefits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Fador, Kristopher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Information Security Officer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Fang, Karen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Global Head of Infrastructure &amp; Sustainable Finance and Co-Head of Global Capital Solutions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Farman, Ivan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Mergers &amp; Acquisitions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Fayyad, Joe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Executive of Australia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Firment, Kelly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Delaware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Foster, Jason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North Bay Market President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Francois, April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Risk Officer, Group CFO and Head of Enterprise Financial Risk</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Froelich, Craig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Information Security Officer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Gadkari, Sarang 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Capital Markets and Global Capital Solutions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Gafsi, Alexandre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EMEA TMT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Gamper, Charles 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Executive Officer of Baltimore City - Private Bank</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Garand, Michael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Worcester - Massachusetts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Gardner, John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Kentucky</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Garijo del Cura, Maria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EMEA Natural Resources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Gellene, Matthew 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Specialized Consumer Client Solutions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Giambelluca, Lucas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Twin Cities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Giannopoulos, Anastasios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Micro Derivatives Trading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Giardinelli, Todd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Natural Resources &amp; Energy Transition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Gopalkrishnan, Hari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Technology &amp; Information Officer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Greener, Geoffrey 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Risk Officer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geoffrey.greener@bofa.com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Gridley, Robert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SVP, Corporate Development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robert.gridley@bankofamerica.com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(678) 339-9594</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Guenthardt, Peter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Asia Pacific Investment Banking Business - Hong Kong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Guo, Lin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GPS for China, Head of GPS Corp Sales for China &amp; HK and Deputy Branch Manager for Beijing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Hanley, Brendan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Emerging Growth &amp; Regional Coverage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Hans, Lindsay 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&amp; Co-Head of Merrill Wealth Management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Hardegree, Richard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Chairman of M&amp;A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Hargrave, Mike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Senior Vice President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Helvig, Debbie U.</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Corporate Communications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Hester, Darrick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Assistant Vice President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Hetherington, James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Director of Global Equity Sales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Hibou, Emmanuel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EMEA TMT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Hille, Richard J.</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Global Head of Compensation and Benefits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Hodgson, Gabby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Colorado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Hutchinson, Brad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Chairman of Global Energy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Hyzy, Christopher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MD &amp; Chief Investment Officer of Bank of America Private Bank and Merrill</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Iles, Geoff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Mergers &amp; Acquisitions Business - Europe, the Middle East and Africa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Janes, Dan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CEO of Investment Banking - Australia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Janicki, Ted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Market President of Buffalo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Jeffries, Ross 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Deputy General Counsel &amp; Corporate Secretary</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ross.jeffries@bofa.com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Jennings-Barkley, Angela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Community Opportunity</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Joo, Michael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Keifer, Paul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Grand Rapids &amp; Head of the Market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Kelly, Gregory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Asia Pacific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Khanna, Ayush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CTO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 xml:space="preserve">Khanna, Ayush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CEO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King, Brian J.</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Maine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King, Richard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EMEA Corporate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Kleinsteuber, Brad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Insurance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Knox, Kathleen 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Private Bank</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Koder, Matthew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Global Corporate &amp;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Korkow, Craig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Omaha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Kumar, Samardh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MD &amp; Co-Head of Emerging Companies Division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Kumbhat, Ashish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President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Lifset, Olena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Oklahoma City</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Lilly, Shannon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Treasurer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Lissauer, Amy Carol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Managing Director &amp; Global Head of Activism and Raid Defense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Littman, Amy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Compliance &amp; Operational Risk and Head of Enterprise Reputational Risk</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Luck, Peter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UK Investment Banking &amp; Head of BofA's Corporate Broking for EMEA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Manelski, Denis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&amp; Co-Head of Global Markets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Mannino, Peter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East Central Florida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Maras, Mihail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Fixed-Income, Currencies &amp; Commodities Research</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michael.maras@bofa.com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44 020 7995 3948</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Marziani, Jeneen Springer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Cleveland</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Matessino, Jonathan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New Orleans/Baton Rouge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Matsuzaka, George 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Insurance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McEntire, E. Lee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Investor Relations &amp; Local Markets Organization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Lee.McEntire@bankofamerica.com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(980) 388-6780</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McLeod, Chip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Upstate South Carolina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McRae, Al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Atlanta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McVeigh, James Patrick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Managing Director of Corporate &amp; Investment Banking - Banc of America Securities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james@cdxadvisors.com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Megyeri, Adam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President of EMEA Distressed Debt &amp; Special Situations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Melvani, Anand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Americas Leveraged Finance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Mensah, Bernard Amponsah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International</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Miller, Sharon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Business Banking and Head of Specialty Banking &amp; Lending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Mogensen, Lauren 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Global General Counsel</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Monaco, Mark C.</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Enterprise Payments &amp; Head of Global Transaction Business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(615) 665-1858x115</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Morehead, Jim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Seattle Market President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Morisseau, Jerome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Investment Banking for France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Moynihan, Brian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Chairman &amp; CEO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brian.t.moynihan@bofa.com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Murray, Lauren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Spokane &amp; Head of Market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Nabhan, Gregg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 of Equity Capital Markets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Nguyen, Thong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Strategy &amp; Enterprise Platforms and Vice Chairman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Nguyen, Tram V.</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Strategic &amp; Sustainable Investments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Noel, Tyrone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Hampton Roads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Noll, Andy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Columbus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Norman, Christopher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Americas Technology M&amp;A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Okpara, Johnbull 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Accounting Officer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O'Neill, Holly 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Consumer, Retail &amp; Preferred lines of business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Oppenheim, Jessica 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External Communications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jessica.oppenheim@bofa.com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Partridge, Brian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ISG Specialists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Pefanis, Anastasios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equity capital markets syndicate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Perez, Marc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Long Island</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Poensgen, Lukas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Mergers &amp; Acquisitions Business - Europe, the Middle East and Africa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Priest, Cindy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 of Global Corporate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Puntambekar, Gautam Padmakar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 Head for Malaysia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Rabinowitz, Susan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Treasure Coast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Rainey, Carolyn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Charlottesville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Ramsey, Patrick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Chairman of Global Mergers &amp; Acquisitions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Reilly, Matt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&amp; Head of Market - New Hampshire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Reynolds, Vaughn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 Columbia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Ries, Anthony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Principal of GBP Swaps Trading and Head of GBP Swaps Trading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Robertson, James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TMT Investment Banking - Europe, the Middle East and Africa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Rourke, Jim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Private Client Partnership Development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Ryan, Mark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Cincinnati</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Sabbia, Lorna Rose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Workplace Benefits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Saggurti, Purna 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Chair of  Bank of America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Sahu, Vikram Prem Kumar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 Head for India &amp; Head of Global Equity Research</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vikram.sahu@bofa.com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(656) 678-0422</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Salley-Gudaitis, Nan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Senior Wealth Advisor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Sameer, Shimna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Preferred Lending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Saunders, Benjamin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Managing Director of Americas Financial Institutions Investment Banking Business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Schimpf, Eric 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&amp; Co-Head of Merrill Wealth Management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Schwartz, Jill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Financial Sponsors Group and Exec. Vice Chair of Global Corporate &amp; IB</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Scrivener, Thomas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Operations Executive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Seguchi, Jiro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Co-President of Asia Pacific and Head of Asia Pacific Global Corporate &amp;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Selig, Stefan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Executive Vice Chairman of Global Corporate &amp; Investment Banking and Global Head of M&amp;A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Sessions, Karen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Pacific Southwest Region of Global Commercial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Sheehan, Thomas J.</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 of Global Corporate &amp;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Shujaat, Naveed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President-Central Florida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Siaje, Ed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Detroit &amp; Head of Market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Sleeman, James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EMEA Natural Resources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Slocum, Drew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Wisconsin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Stanziale, Bruno</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Principal of Commodities Sales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Statsky, Jason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Power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Steinemann, Patrick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Mobility Group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Stevens, Simeon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UK Corporate Banking and Co-Head of UK and Ireland Corporate &amp;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Stewart, Wendy 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Global Commercial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Su, Jin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Co-President of Asia Pacific and Co-Head of Asia Pacific Fixed Income, Currencies &amp; Commodities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Subramaniam, Shankar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MD &amp; India Head of Corporate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Sullivan, Regina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Global Compliance and Operational Risk Executive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Suss, Steven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Chief Administrative Officer of Hedge Fund &amp; Private Equity Investments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Takian, Randolph Scott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wealth Management Banking &amp; Lending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Tannenbaum, Jeff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Global Capital Markets EMEA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Tavarez, Jose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Chair of Wealth Management Advisory</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test, testprofessional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nikita.vyas@spglobal.com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12512513241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Thompson, Bruce 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Vice Chair &amp; Head of Enterprise Credit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Tinelli, Matteo</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Vice President of High Grade Origination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Tyler, Kelly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Myrtle Beach</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Tyrie, David C.</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Marketing &amp; Digital &amp; Specialised Consumer Client Solution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Urmeneta, Augusto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of Global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Van Bergh, M. Scott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Head of Energy Corporate and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Vanderpool, Scott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Bank of America Phoenix</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Vatter, Erik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Saraota &amp; Manatee Region</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Vicario, Fernando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Chief Executive of Bank of America Europe DAC</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Vincent, Heather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Senior Vice President of Nashville Local Market Manager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Vissicchio, Jack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Global Head of Real Estate, Gaming &amp; Lodging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Wachtel, Brooke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Corporate Banking-Switzerland</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Weinstein, Brian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Global Co-Head of Emerging Markets Trading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Williams, Christine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Myrtle Beach</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Wong, Alice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Managing Director of Americas Financial Institutions Investment Banking Unit</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0000"/>
                <w:sz w:val="16"/>
                <w:u w:val="none"/>
              </w:rPr>
              <w:t>Wong, Ian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General Manager of Shanghai and Country Executive of China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Wood, Raymond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Global Chairman of the Business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Wu, Loli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Head of Transp. &amp; Infra. and Co-Head of NA Industrials Investment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Young, Bill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Co-Head - Diversified &amp; Adv. Ind. Inv. Banking and Co-Head - NA Ind. Inv. Banking</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Zhang, Wenjie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MD &amp; President - China</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Zuber, Karen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of Bakersfield</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Zuberi, Soofian J. J.</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President &amp; Co-Head, Global Markets</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bl>
    <w:p w:rsidR="00A77B3E">
      <w:pPr>
        <w:pStyle w:val="Normal2"/>
        <w:keepLines/>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2"/>
        <w:keepLines/>
        <w:jc w:val="left"/>
        <w:rPr>
          <w:rStyle w:val="DefaultParagraphFont"/>
          <w:rFonts w:ascii="Arial" w:eastAsia="Arial" w:hAnsi="Arial" w:cs="Arial"/>
          <w:b w:val="0"/>
          <w:i w:val="0"/>
          <w:color w:val="000000"/>
          <w:sz w:val="16"/>
          <w:u w:val="none"/>
        </w:rPr>
      </w:pPr>
      <w:bookmarkStart w:id="20" w:name="bookmark-19"/>
      <w:r>
        <w:rPr>
          <w:rStyle w:val="DefaultParagraphFont"/>
          <w:rFonts w:ascii="Arial" w:eastAsia="Arial" w:hAnsi="Arial" w:cs="Arial"/>
          <w:b w:val="0"/>
          <w:i w:val="0"/>
          <w:color w:val="FFFFFF"/>
          <w:sz w:val="0"/>
          <w:u w:val="none"/>
        </w:rPr>
        <w:t>Bookmark</w:t>
      </w:r>
      <w:bookmarkEnd w:id="20"/>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Board Members</w:t>
            </w:r>
          </w:p>
          <w:p w:rsidR="00A77B3E">
            <w:pPr>
              <w:pStyle w:val="Normal2"/>
              <w:keepLines/>
              <w:jc w:val="left"/>
              <w:rPr>
                <w:rStyle w:val="DefaultParagraphFont"/>
                <w:rFonts w:ascii="Arial" w:eastAsia="Arial" w:hAnsi="Arial" w:cs="Arial"/>
                <w:b/>
                <w:i w:val="0"/>
                <w:color w:val="FFFFFF"/>
                <w:sz w:val="16"/>
                <w:u w:val="none"/>
              </w:rPr>
            </w:pPr>
          </w:p>
        </w:tc>
      </w:tr>
    </w:tbl>
    <w:p w:rsidR="00A77B3E">
      <w:pPr>
        <w:pStyle w:val="Normal2"/>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036"/>
        <w:gridCol w:w="3156"/>
        <w:gridCol w:w="2083"/>
        <w:gridCol w:w="1691"/>
        <w:gridCol w:w="1650"/>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Name</w:t>
            </w:r>
          </w:p>
        </w:tc>
        <w:tc>
          <w:tcPr>
            <w:tcW w:w="18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Title</w:t>
            </w:r>
          </w:p>
        </w:tc>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Email Address</w:t>
            </w:r>
          </w:p>
        </w:tc>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Direct Phone</w:t>
            </w:r>
          </w:p>
        </w:tc>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Office Address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Allen, Sharon L.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Almeida, Jose E.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Donald, Arnold W.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Jones, W. Steven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Director and Member of Asset Quality Committee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Lozano, Monica C.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Martinez, Maria N.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Mitchell, Patricia E.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Director and Member of Asset Quality Committee</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Moynihan, Brian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Chairman &amp; CEO</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brian.t.moynihan@bofa.com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Corporate Center</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100 North Tryon Street</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0000"/>
                <w:sz w:val="16"/>
                <w:u w:val="none"/>
              </w:rPr>
              <w:t xml:space="preserve"> | </w:t>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nikitaabctest, nikitaabctest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Nowell, Lionel L.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Lead 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Ramos, Denise L.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Rose, Clayton S.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crose@bowdoin.edu</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testnikki, asdfadsf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testnikki, testnikkiboardmember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testnikki, testnikkiboardmember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testnikki, TESTNIKKIPRODUPDAED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7456765</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testnikki, TestNikkiqtweb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nikkitest12121@test.com</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4563456354</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testnikki, TestNikkiqtwebfresh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testterrtwertwetre, fghgdgfhdgdfg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8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White, Michael D.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Woods, Thomas D.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r>
        <w:tblPrEx>
          <w:tblW w:w="5000" w:type="pct"/>
          <w:tblCellMar>
            <w:left w:w="0" w:type="dxa"/>
            <w:right w:w="0" w:type="dxa"/>
          </w:tblCellMar>
        </w:tblPrEx>
        <w:trPr>
          <w:cantSplit/>
          <w:trHeight w:hRule="auto" w:val="240"/>
        </w:trPr>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Zuber, Maria T. (Board)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Independent Director</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2"/>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Corporate Center | 100 North Tryon Street | Charlotte, North Carolina 28255 | United States</w:t>
            </w:r>
          </w:p>
        </w:tc>
      </w:tr>
    </w:tbl>
    <w:p w:rsidR="00A77B3E">
      <w:pPr>
        <w:pStyle w:val="Normal2"/>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2"/>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bookmarkStart w:id="21" w:name="bookmark-17End"/>
      <w:r>
        <w:rPr>
          <w:rStyle w:val="DefaultParagraphFont"/>
          <w:rFonts w:ascii="Arial" w:eastAsia="Arial" w:hAnsi="Arial" w:cs="Arial"/>
          <w:b w:val="0"/>
          <w:i w:val="0"/>
          <w:color w:val="FFFFFF"/>
          <w:sz w:val="0"/>
          <w:u w:val="none"/>
        </w:rPr>
        <w:t>Bookmark</w:t>
      </w:r>
      <w:bookmarkEnd w:id="21"/>
    </w:p>
    <w:p w:rsidR="00A77B3E">
      <w:pPr>
        <w:pStyle w:val="Normal3"/>
        <w:keepLines/>
        <w:rPr>
          <w:rStyle w:val="DefaultParagraphFont"/>
        </w:rPr>
      </w:pPr>
      <w:bookmarkStart w:id="22" w:name="bookmark-20"/>
      <w:r>
        <w:rPr>
          <w:rStyle w:val="DefaultParagraphFont"/>
          <w:rFonts w:ascii="Arial" w:eastAsia="Arial" w:hAnsi="Arial" w:cs="Arial"/>
          <w:b w:val="0"/>
          <w:i w:val="0"/>
          <w:color w:val="FFFFFF"/>
          <w:sz w:val="0"/>
          <w:u w:val="none"/>
        </w:rPr>
        <w:t>Bookmark</w:t>
      </w:r>
      <w:bookmarkEnd w:id="22"/>
      <w:bookmarkStart w:id="23" w:name="bookmark-21"/>
      <w:r>
        <w:rPr>
          <w:rStyle w:val="DefaultParagraphFont"/>
          <w:rFonts w:ascii="Arial" w:eastAsia="Arial" w:hAnsi="Arial" w:cs="Arial"/>
          <w:b w:val="0"/>
          <w:i w:val="0"/>
          <w:color w:val="FFFFFF"/>
          <w:sz w:val="0"/>
          <w:u w:val="none"/>
        </w:rPr>
        <w:t>Bookmark</w:t>
      </w:r>
      <w:bookmarkEnd w:id="23"/>
      <w:bookmarkStart w:id="24" w:name="bookmark-22"/>
      <w:r>
        <w:rPr>
          <w:rStyle w:val="DefaultParagraphFont"/>
          <w:rFonts w:ascii="Arial" w:eastAsia="Arial" w:hAnsi="Arial" w:cs="Arial"/>
          <w:b w:val="0"/>
          <w:i w:val="0"/>
          <w:color w:val="FFFFFF"/>
          <w:sz w:val="0"/>
          <w:u w:val="none"/>
        </w:rPr>
        <w:t>Bookmark</w:t>
      </w:r>
      <w:bookmarkEnd w:id="24"/>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3"/>
              <w:keepLines/>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3"/>
              <w:keepLines/>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Key Financials</w:t>
            </w:r>
          </w:p>
          <w:p w:rsidR="00A77B3E">
            <w:pPr>
              <w:pStyle w:val="Normal3"/>
              <w:keepLines/>
              <w:rPr>
                <w:rStyle w:val="DefaultParagraphFont"/>
                <w:rFonts w:ascii="Arial" w:eastAsia="Arial" w:hAnsi="Arial" w:cs="Arial"/>
                <w:b/>
                <w:i w:val="0"/>
                <w:color w:val="FFFFFF"/>
                <w:sz w:val="16"/>
                <w:u w:val="none"/>
              </w:rPr>
            </w:pPr>
          </w:p>
        </w:tc>
      </w:tr>
    </w:tbl>
    <w:p w:rsidR="00A77B3E">
      <w:pPr>
        <w:pStyle w:val="Normal3"/>
        <w:keepLines/>
        <w:rPr>
          <w:rStyle w:val="DefaultParagraphFont"/>
          <w:rFonts w:ascii="Arial" w:eastAsia="Arial" w:hAnsi="Arial" w:cs="Arial"/>
          <w:b w:val="0"/>
          <w:i w:val="0"/>
          <w:color w:val="000000"/>
          <w:sz w:val="16"/>
          <w:u w:val="none"/>
        </w:rPr>
        <w:sectPr>
          <w:headerReference w:type="default" r:id="rId8"/>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10616"/>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In Millions of the trading currency, except per share items.</w:t>
            </w:r>
          </w:p>
        </w:tc>
      </w:tr>
    </w:tbl>
    <w:p w:rsidR="00A77B3E">
      <w:pPr>
        <w:pStyle w:val="Normal3"/>
        <w:keepLines/>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3293"/>
        <w:gridCol w:w="1224"/>
        <w:gridCol w:w="1224"/>
        <w:gridCol w:w="1224"/>
        <w:gridCol w:w="1217"/>
        <w:gridCol w:w="1217"/>
        <w:gridCol w:w="1217"/>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 </w:t>
            </w:r>
            <w:r>
              <w:rPr>
                <w:rStyle w:val="DefaultParagraphFont"/>
                <w:rFonts w:ascii="Arial" w:eastAsia="Arial" w:hAnsi="Arial" w:cs="Arial"/>
                <w:b/>
                <w:i w:val="0"/>
                <w:color w:val="000000"/>
                <w:sz w:val="4"/>
                <w:u w:val="none"/>
              </w:rPr>
              <w:br/>
            </w:r>
            <w:r>
              <w:rPr>
                <w:rStyle w:val="DefaultParagraphFont"/>
                <w:rFonts w:ascii="Arial" w:eastAsia="Arial" w:hAnsi="Arial" w:cs="Arial"/>
                <w:b/>
                <w:i w:val="0"/>
                <w:color w:val="000000"/>
                <w:sz w:val="16"/>
                <w:u w:val="none"/>
              </w:rPr>
              <w:t>For the Fiscal Period Ending</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Dec-31-2024</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Dec-31-2025</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Mar-31-2026</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Dec-31-2026</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Dec-31-2027</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Dec-31-2028</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Currency</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USD</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USD</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USD</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USD</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USD</w:t>
            </w:r>
          </w:p>
        </w:tc>
        <w:tc>
          <w:tcPr>
            <w:tcW w:w="6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Total Revenue</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100,035.0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107,422.0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109,590.0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121,170.53</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127,342.41</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133,051.23</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 xml:space="preserve">    Growth Over Prior Year</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color w:val="000000"/>
                <w:sz w:val="16"/>
                <w:u w:val="none"/>
              </w:rPr>
              <w:t>1.7%</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7.4%</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7.1%</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6.56%</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5.09%</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4.48%</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EBT Excl. Unusual Items</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33,223.0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37,695.0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39,102.0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 xml:space="preserve">    Margin %</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color w:val="000000"/>
                <w:sz w:val="16"/>
                <w:u w:val="none"/>
              </w:rPr>
              <w:t>33.2%</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35.1%</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35.7%</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Earnings from Cont. Ops.</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26,973.0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30,509.0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31,733.0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 xml:space="preserve">    Margin %</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color w:val="000000"/>
                <w:sz w:val="16"/>
                <w:u w:val="none"/>
              </w:rPr>
              <w:t>27.0%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28.4%</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29.0%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Net Income</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26,973.0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30,509.0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31,733.0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32,620.80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34,897.50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37,108.52</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 xml:space="preserve">    Margin %</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color w:val="000000"/>
                <w:sz w:val="16"/>
                <w:u w:val="none"/>
              </w:rPr>
              <w:t>27.0%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28.4%</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29.0%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26.92%</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27.40%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27.89%</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Diluted EPS Excl. Extra Items³</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3.19</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3.81</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4.02</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4.47</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5.06</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5.71</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 xml:space="preserve">    Growth Over Prior Year</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color w:val="000000"/>
                <w:sz w:val="16"/>
                <w:u w:val="none"/>
              </w:rPr>
              <w:t>4.6%</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19.4%</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21.2%</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17.32%</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13.18%</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12.79%</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Total Assets</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3,261,299.0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3,411,738.0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3,496,186.0</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 xml:space="preserve">    Growth Over Prior Year</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color w:val="000000"/>
                <w:sz w:val="16"/>
                <w:u w:val="none"/>
              </w:rPr>
              <w:t>2.6%</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4.6%</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r>
              <w:rPr>
                <w:rStyle w:val="DefaultParagraphFont"/>
                <w:rFonts w:ascii="Arial" w:eastAsia="Arial" w:hAnsi="Arial" w:cs="Arial"/>
                <w:b w:val="0"/>
                <w:i/>
                <w:color w:val="000000"/>
                <w:sz w:val="16"/>
                <w:u w:val="none"/>
              </w:rPr>
              <w:t>4.4%</w:t>
            </w: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c>
          <w:tcPr>
            <w:tcW w:w="6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color w:val="000000"/>
                <w:sz w:val="16"/>
                <w:u w:val="none"/>
              </w:rPr>
            </w:pPr>
          </w:p>
        </w:tc>
      </w:tr>
    </w:tbl>
    <w:p w:rsidR="00A77B3E">
      <w:pPr>
        <w:pStyle w:val="Normal3"/>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color w:val="000000"/>
          <w:sz w:val="2"/>
          <w:u w:val="none"/>
        </w:rPr>
        <w:br/>
      </w:r>
      <w:bookmarkStart w:id="25" w:name="bookmark-23"/>
      <w:r>
        <w:rPr>
          <w:rStyle w:val="DefaultParagraphFont"/>
          <w:rFonts w:ascii="Arial" w:eastAsia="Arial" w:hAnsi="Arial" w:cs="Arial"/>
          <w:b w:val="0"/>
          <w:i w:val="0"/>
          <w:color w:val="FFFFFF"/>
          <w:sz w:val="0"/>
          <w:u w:val="none"/>
        </w:rPr>
        <w:t>Bookmark</w:t>
      </w:r>
      <w:bookmarkEnd w:id="25"/>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color w:val="000000"/>
                <w:sz w:val="16"/>
                <w:u w:val="none"/>
              </w:rPr>
            </w:pPr>
            <w:r>
              <w:rPr>
                <w:rStyle w:val="DefaultParagraphFont"/>
                <w:rFonts w:ascii="Arial" w:eastAsia="Arial" w:hAnsi="Arial" w:cs="Arial"/>
                <w:b/>
                <w:i w:val="0"/>
                <w:color w:val="FFFFFF"/>
                <w:sz w:val="16"/>
                <w:u w:val="none"/>
              </w:rPr>
              <w:t>Current Capitalization</w:t>
            </w:r>
          </w:p>
          <w:p w:rsidR="00A77B3E">
            <w:pPr>
              <w:pStyle w:val="Normal3"/>
              <w:keepLines/>
              <w:jc w:val="left"/>
              <w:rPr>
                <w:rStyle w:val="DefaultParagraphFont"/>
                <w:rFonts w:ascii="Arial" w:eastAsia="Arial" w:hAnsi="Arial" w:cs="Arial"/>
                <w:b/>
                <w:i w:val="0"/>
                <w:color w:val="FFFFFF"/>
                <w:sz w:val="16"/>
                <w:u w:val="none"/>
              </w:rPr>
            </w:pPr>
          </w:p>
        </w:tc>
      </w:tr>
    </w:tbl>
    <w:p w:rsidR="00A77B3E">
      <w:pPr>
        <w:pStyle w:val="Normal3"/>
        <w:keepLines/>
        <w:jc w:val="left"/>
        <w:rPr>
          <w:rStyle w:val="DefaultParagraphFont"/>
          <w:rFonts w:ascii="Arial" w:eastAsia="Arial" w:hAnsi="Arial" w:cs="Arial"/>
          <w:b w:val="0"/>
          <w:i/>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7902"/>
        <w:gridCol w:w="2714"/>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16"/>
                <w:u w:val="none"/>
              </w:rPr>
              <w:t>Currency</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USD</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Share Price</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$ 56.84</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Shares Out.</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7,096.6</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Market Capitalization</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403,370.2</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Book Value of Common Equity</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275,672.0</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Book Value of Pref. Equity</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24,996.0</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 </w:t>
            </w:r>
            <w:r>
              <w:rPr>
                <w:rStyle w:val="DefaultParagraphFont"/>
                <w:rFonts w:ascii="Arial" w:eastAsia="Arial" w:hAnsi="Arial" w:cs="Arial"/>
                <w:b w:val="0"/>
                <w:i w:val="0"/>
                <w:color w:val="000000"/>
                <w:sz w:val="2"/>
                <w:u w:val="none"/>
              </w:rPr>
              <w:br/>
            </w:r>
            <w:r>
              <w:rPr>
                <w:rStyle w:val="DefaultParagraphFont"/>
                <w:rFonts w:ascii="Arial" w:eastAsia="Arial" w:hAnsi="Arial" w:cs="Arial"/>
                <w:b/>
                <w:i w:val="0"/>
                <w:color w:val="000000"/>
                <w:sz w:val="16"/>
                <w:u w:val="none"/>
              </w:rPr>
              <w:t>= Total Equity</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__________</w:t>
            </w:r>
            <w:r>
              <w:rPr>
                <w:rStyle w:val="DefaultParagraphFont"/>
                <w:rFonts w:ascii="Arial" w:eastAsia="Arial" w:hAnsi="Arial" w:cs="Arial"/>
                <w:b w:val="0"/>
                <w:i w:val="0"/>
                <w:color w:val="000000"/>
                <w:sz w:val="2"/>
                <w:u w:val="none"/>
              </w:rPr>
              <w:br/>
            </w:r>
            <w:r>
              <w:rPr>
                <w:rStyle w:val="DefaultParagraphFont"/>
                <w:rFonts w:ascii="Arial" w:eastAsia="Arial" w:hAnsi="Arial" w:cs="Arial"/>
                <w:b/>
                <w:i w:val="0"/>
                <w:color w:val="000000"/>
                <w:sz w:val="16"/>
                <w:u w:val="none"/>
              </w:rPr>
              <w:t>300,668.0</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Tier 1 Capital</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224,671.0</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Tier 2 Capital</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33,645.0</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Total Capital</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258,316.0</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Tier 1 Capital Ratio %</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12.6%</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Total Capital Ratio %</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14.5%</w:t>
            </w:r>
          </w:p>
        </w:tc>
      </w:tr>
      <w:tr>
        <w:tblPrEx>
          <w:tblW w:w="5000" w:type="pct"/>
          <w:tblCellMar>
            <w:left w:w="0" w:type="dxa"/>
            <w:right w:w="0" w:type="dxa"/>
          </w:tblCellMar>
        </w:tblPrEx>
        <w:trPr>
          <w:cantSplit/>
          <w:trHeight w:hRule="auto" w:val="240"/>
        </w:trPr>
        <w:tc>
          <w:tcPr>
            <w:tcW w:w="4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Leverage Ratio %</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6.5%</w:t>
            </w:r>
          </w:p>
        </w:tc>
      </w:tr>
    </w:tbl>
    <w:p w:rsidR="00A77B3E">
      <w:pPr>
        <w:pStyle w:val="Normal3"/>
        <w:keepLines/>
        <w:jc w:val="left"/>
        <w:rPr>
          <w:rStyle w:val="DefaultParagraphFont"/>
          <w:rFonts w:ascii="Arial" w:eastAsia="Arial" w:hAnsi="Arial" w:cs="Arial"/>
          <w:b w:val="0"/>
          <w:i/>
          <w:color w:val="000000"/>
          <w:sz w:val="16"/>
          <w:u w:val="none"/>
        </w:rPr>
        <w:sectPr>
          <w:type w:val="continuous"/>
          <w:pgSz w:w="12240" w:h="15840"/>
          <w:pgMar w:top="1440" w:right="792" w:bottom="1440" w:left="792" w:header="490" w:footer="619" w:gutter="0"/>
          <w:cols w:space="708"/>
          <w:docGrid w:linePitch="360"/>
        </w:sectPr>
      </w:pPr>
    </w:p>
    <w:p w:rsidR="00A77B3E">
      <w:pPr>
        <w:pStyle w:val="Normal3"/>
        <w:keepLines/>
        <w:jc w:val="left"/>
        <w:rPr>
          <w:rStyle w:val="DefaultParagraphFont"/>
          <w:rFonts w:ascii="Arial" w:eastAsia="Arial" w:hAnsi="Arial" w:cs="Arial"/>
          <w:b w:val="0"/>
          <w:i/>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val="0"/>
          <w:i w:val="0"/>
          <w:color w:val="000000"/>
          <w:sz w:val="16"/>
          <w:u w:val="none"/>
        </w:rPr>
        <w:t>*Includes number of shares outstanding + shares held by non-controlling interest holders without accounting for dilutive securities</w:t>
      </w:r>
      <w:bookmarkStart w:id="26" w:name="bookmark-24"/>
      <w:r>
        <w:rPr>
          <w:rStyle w:val="DefaultParagraphFont"/>
          <w:rFonts w:ascii="Arial" w:eastAsia="Arial" w:hAnsi="Arial" w:cs="Arial"/>
          <w:b w:val="0"/>
          <w:i w:val="0"/>
          <w:color w:val="FFFFFF"/>
          <w:sz w:val="0"/>
          <w:u w:val="none"/>
        </w:rPr>
        <w:t>Bookmark</w:t>
      </w:r>
      <w:bookmarkEnd w:id="26"/>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Valuation Multiples based on Current Capitalization</w:t>
            </w:r>
          </w:p>
          <w:p w:rsidR="00A77B3E">
            <w:pPr>
              <w:pStyle w:val="Normal3"/>
              <w:keepLines/>
              <w:jc w:val="left"/>
              <w:rPr>
                <w:rStyle w:val="DefaultParagraphFont"/>
                <w:rFonts w:ascii="Arial" w:eastAsia="Arial" w:hAnsi="Arial" w:cs="Arial"/>
                <w:b/>
                <w:i w:val="0"/>
                <w:color w:val="FFFFFF"/>
                <w:sz w:val="16"/>
                <w:u w:val="none"/>
              </w:rPr>
            </w:pPr>
          </w:p>
        </w:tc>
      </w:tr>
    </w:tbl>
    <w:p w:rsidR="00A77B3E">
      <w:pPr>
        <w:pStyle w:val="Normal3"/>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3991"/>
        <w:gridCol w:w="1325"/>
        <w:gridCol w:w="1325"/>
        <w:gridCol w:w="1325"/>
        <w:gridCol w:w="1325"/>
        <w:gridCol w:w="1325"/>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2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 </w:t>
            </w:r>
            <w:r>
              <w:rPr>
                <w:rStyle w:val="DefaultParagraphFont"/>
                <w:rFonts w:ascii="Arial" w:eastAsia="Arial" w:hAnsi="Arial" w:cs="Arial"/>
                <w:b/>
                <w:i w:val="0"/>
                <w:color w:val="000000"/>
                <w:sz w:val="4"/>
                <w:u w:val="none"/>
              </w:rPr>
              <w:br/>
            </w:r>
            <w:r>
              <w:rPr>
                <w:rStyle w:val="DefaultParagraphFont"/>
                <w:rFonts w:ascii="Arial" w:eastAsia="Arial" w:hAnsi="Arial" w:cs="Arial"/>
                <w:b/>
                <w:i w:val="0"/>
                <w:color w:val="000000"/>
                <w:sz w:val="16"/>
                <w:u w:val="none"/>
              </w:rPr>
              <w:t>For the Fiscal Period Ending</w:t>
            </w:r>
          </w:p>
        </w:tc>
        <w:tc>
          <w:tcPr>
            <w:tcW w:w="6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Dec-31-2025</w:t>
            </w:r>
          </w:p>
        </w:tc>
        <w:tc>
          <w:tcPr>
            <w:tcW w:w="6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Mar-31-2026</w:t>
            </w:r>
          </w:p>
        </w:tc>
        <w:tc>
          <w:tcPr>
            <w:tcW w:w="6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Dec-31-2026</w:t>
            </w:r>
          </w:p>
        </w:tc>
        <w:tc>
          <w:tcPr>
            <w:tcW w:w="6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Dec-31-2027</w:t>
            </w:r>
          </w:p>
        </w:tc>
        <w:tc>
          <w:tcPr>
            <w:tcW w:w="6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12 months</w:t>
            </w:r>
            <w:r>
              <w:rPr>
                <w:rStyle w:val="DefaultParagraphFont"/>
                <w:rFonts w:ascii="Arial" w:eastAsia="Arial" w:hAnsi="Arial" w:cs="Arial"/>
                <w:b/>
                <w:i w:val="0"/>
                <w:color w:val="000000"/>
                <w:sz w:val="2"/>
                <w:u w:val="none"/>
              </w:rPr>
              <w:br/>
            </w:r>
            <w:r>
              <w:rPr>
                <w:rStyle w:val="DefaultParagraphFont"/>
                <w:rFonts w:ascii="Arial" w:eastAsia="Arial" w:hAnsi="Arial" w:cs="Arial"/>
                <w:b/>
                <w:i w:val="0"/>
                <w:color w:val="000000"/>
                <w:sz w:val="16"/>
                <w:u w:val="none"/>
              </w:rPr>
              <w:t>Dec-31-2028</w:t>
            </w:r>
          </w:p>
        </w:tc>
      </w:tr>
      <w:tr>
        <w:tblPrEx>
          <w:tblW w:w="5000" w:type="pct"/>
          <w:tblCellMar>
            <w:left w:w="0" w:type="dxa"/>
            <w:right w:w="0" w:type="dxa"/>
          </w:tblCellMar>
        </w:tblPrEx>
        <w:trPr>
          <w:cantSplit/>
          <w:trHeight w:hRule="auto" w:val="240"/>
        </w:trPr>
        <w:tc>
          <w:tcPr>
            <w:tcW w:w="2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Market Cap / Total Revenue</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3.8x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3.7x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2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Market Cap / EBT Excl. Unusual Items</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10.7x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10.3x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cantSplit/>
          <w:trHeight w:hRule="auto" w:val="240"/>
        </w:trPr>
        <w:tc>
          <w:tcPr>
            <w:tcW w:w="2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P/Diluted EPS Before Extra</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14.9x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14.1x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9.96x</w:t>
            </w:r>
          </w:p>
        </w:tc>
      </w:tr>
      <w:tr>
        <w:tblPrEx>
          <w:tblW w:w="5000" w:type="pct"/>
          <w:tblCellMar>
            <w:left w:w="0" w:type="dxa"/>
            <w:right w:w="0" w:type="dxa"/>
          </w:tblCellMar>
        </w:tblPrEx>
        <w:trPr>
          <w:cantSplit/>
          <w:trHeight w:hRule="auto" w:val="240"/>
        </w:trPr>
        <w:tc>
          <w:tcPr>
            <w:tcW w:w="2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P/BV</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1.41x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1.21x</w:t>
            </w:r>
          </w:p>
        </w:tc>
      </w:tr>
      <w:tr>
        <w:tblPrEx>
          <w:tblW w:w="5000" w:type="pct"/>
          <w:tblCellMar>
            <w:left w:w="0" w:type="dxa"/>
            <w:right w:w="0" w:type="dxa"/>
          </w:tblCellMar>
        </w:tblPrEx>
        <w:trPr>
          <w:cantSplit/>
          <w:trHeight w:hRule="auto" w:val="240"/>
        </w:trPr>
        <w:tc>
          <w:tcPr>
            <w:tcW w:w="20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3"/>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Price/Tang BV</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2.0x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2.0x</w:t>
            </w: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p>
        </w:tc>
        <w:tc>
          <w:tcPr>
            <w:tcW w:w="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3"/>
              <w:keepLines/>
              <w:jc w:val="right"/>
              <w:rPr>
                <w:rStyle w:val="DefaultParagraphFont"/>
                <w:rFonts w:ascii="Arial" w:eastAsia="Arial" w:hAnsi="Arial" w:cs="Arial"/>
                <w:b w:val="0"/>
                <w:i w:val="0"/>
                <w:color w:val="000000"/>
                <w:sz w:val="16"/>
                <w:u w:val="none"/>
              </w:rPr>
            </w:pPr>
          </w:p>
        </w:tc>
      </w:tr>
    </w:tbl>
    <w:p w:rsidR="00A77B3E">
      <w:pPr>
        <w:pStyle w:val="Normal3"/>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3"/>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2"/>
          <w:u w:val="none"/>
        </w:rPr>
        <w:br/>
      </w:r>
      <w:bookmarkStart w:id="27" w:name="bookmark-21End"/>
      <w:r>
        <w:rPr>
          <w:rStyle w:val="DefaultParagraphFont"/>
          <w:rFonts w:ascii="Arial" w:eastAsia="Arial" w:hAnsi="Arial" w:cs="Arial"/>
          <w:b w:val="0"/>
          <w:i w:val="0"/>
          <w:color w:val="FFFFFF"/>
          <w:sz w:val="0"/>
          <w:u w:val="none"/>
        </w:rPr>
        <w:t>Bookmark</w:t>
      </w:r>
      <w:bookmarkEnd w:id="27"/>
      <w:bookmarkStart w:id="28" w:name="bookmark-20End"/>
      <w:r>
        <w:rPr>
          <w:rStyle w:val="DefaultParagraphFont"/>
          <w:rFonts w:ascii="Arial" w:eastAsia="Arial" w:hAnsi="Arial" w:cs="Arial"/>
          <w:b w:val="0"/>
          <w:i w:val="0"/>
          <w:color w:val="FFFFFF"/>
          <w:sz w:val="0"/>
          <w:u w:val="none"/>
        </w:rPr>
        <w:t>Bookmark</w:t>
      </w:r>
      <w:bookmarkEnd w:id="28"/>
    </w:p>
    <w:p w:rsidR="00A77B3E">
      <w:pPr>
        <w:pStyle w:val="Normal4"/>
        <w:keepLines/>
        <w:rPr>
          <w:rStyle w:val="DefaultParagraphFont"/>
        </w:rPr>
      </w:pPr>
      <w:bookmarkStart w:id="29" w:name="bookmark-25"/>
      <w:r>
        <w:rPr>
          <w:rStyle w:val="DefaultParagraphFont"/>
          <w:rFonts w:ascii="Arial" w:eastAsia="Arial" w:hAnsi="Arial" w:cs="Arial"/>
          <w:b w:val="0"/>
          <w:i w:val="0"/>
          <w:color w:val="FFFFFF"/>
          <w:sz w:val="0"/>
          <w:u w:val="none"/>
        </w:rPr>
        <w:t>Bookmark</w:t>
      </w:r>
      <w:bookmarkEnd w:id="29"/>
      <w:bookmarkStart w:id="30" w:name="bookmark-26"/>
      <w:r>
        <w:rPr>
          <w:rStyle w:val="DefaultParagraphFont"/>
          <w:rFonts w:ascii="Arial" w:eastAsia="Arial" w:hAnsi="Arial" w:cs="Arial"/>
          <w:b w:val="0"/>
          <w:i w:val="0"/>
          <w:color w:val="FFFFFF"/>
          <w:sz w:val="0"/>
          <w:u w:val="none"/>
        </w:rPr>
        <w:t>Bookmark</w:t>
      </w:r>
      <w:bookmarkEnd w:id="30"/>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4"/>
              <w:keepLines/>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4"/>
              <w:keepLines/>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Non-Periodic Consensus</w:t>
            </w:r>
          </w:p>
          <w:p w:rsidR="00A77B3E">
            <w:pPr>
              <w:pStyle w:val="Normal4"/>
              <w:keepLines/>
              <w:rPr>
                <w:rStyle w:val="DefaultParagraphFont"/>
                <w:rFonts w:ascii="Arial" w:eastAsia="Arial" w:hAnsi="Arial" w:cs="Arial"/>
                <w:b/>
                <w:i w:val="0"/>
                <w:color w:val="FFFFFF"/>
                <w:sz w:val="16"/>
                <w:u w:val="none"/>
              </w:rPr>
            </w:pPr>
          </w:p>
        </w:tc>
      </w:tr>
    </w:tbl>
    <w:p w:rsidR="00A77B3E">
      <w:pPr>
        <w:pStyle w:val="Normal4"/>
        <w:keepLines/>
        <w:rPr>
          <w:rStyle w:val="DefaultParagraphFont"/>
          <w:rFonts w:ascii="Arial" w:eastAsia="Arial" w:hAnsi="Arial" w:cs="Arial"/>
          <w:b w:val="0"/>
          <w:i w:val="0"/>
          <w:color w:val="000000"/>
          <w:sz w:val="16"/>
          <w:u w:val="none"/>
        </w:rPr>
        <w:sectPr>
          <w:headerReference w:type="default" r:id="rId9"/>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105"/>
        <w:gridCol w:w="2106"/>
        <w:gridCol w:w="2133"/>
        <w:gridCol w:w="4272"/>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0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NYSE:BAC (USD)</w:t>
            </w:r>
          </w:p>
        </w:tc>
        <w:tc>
          <w:tcPr>
            <w:tcW w:w="10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Target Price</w:t>
            </w:r>
          </w:p>
        </w:tc>
        <w:tc>
          <w:tcPr>
            <w:tcW w:w="10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LT Growth</w:t>
            </w:r>
          </w:p>
        </w:tc>
        <w:tc>
          <w:tcPr>
            <w:tcW w:w="21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Recommendation: Buy (1.92)</w:t>
            </w:r>
          </w:p>
        </w:tc>
      </w:tr>
      <w:tr>
        <w:tblPrEx>
          <w:tblW w:w="5000" w:type="pct"/>
          <w:tblCellMar>
            <w:left w:w="0" w:type="dxa"/>
            <w:right w:w="0" w:type="dxa"/>
          </w:tblCellMar>
        </w:tblPrEx>
        <w:trPr>
          <w:cantSplit/>
          <w:trHeight w:hRule="auto" w:val="240"/>
        </w:trPr>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Mean</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62.50</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17.07%</w:t>
            </w:r>
          </w:p>
        </w:tc>
        <w:tc>
          <w:tcPr>
            <w:tcW w:w="21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1 - Strong Buy (5)</w:t>
            </w:r>
          </w:p>
        </w:tc>
      </w:tr>
      <w:tr>
        <w:tblPrEx>
          <w:tblW w:w="5000" w:type="pct"/>
          <w:tblCellMar>
            <w:left w:w="0" w:type="dxa"/>
            <w:right w:w="0" w:type="dxa"/>
          </w:tblCellMar>
        </w:tblPrEx>
        <w:trPr>
          <w:cantSplit/>
          <w:trHeight w:hRule="auto" w:val="240"/>
        </w:trPr>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Median</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62.00</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17.07%</w:t>
            </w:r>
          </w:p>
        </w:tc>
        <w:tc>
          <w:tcPr>
            <w:tcW w:w="21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2 - Buy (14)</w:t>
            </w:r>
          </w:p>
        </w:tc>
      </w:tr>
      <w:tr>
        <w:tblPrEx>
          <w:tblW w:w="5000" w:type="pct"/>
          <w:tblCellMar>
            <w:left w:w="0" w:type="dxa"/>
            <w:right w:w="0" w:type="dxa"/>
          </w:tblCellMar>
        </w:tblPrEx>
        <w:trPr>
          <w:cantSplit/>
          <w:trHeight w:hRule="auto" w:val="240"/>
        </w:trPr>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High/Low</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71.00/48.00</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17.07%/17.07%</w:t>
            </w:r>
          </w:p>
        </w:tc>
        <w:tc>
          <w:tcPr>
            <w:tcW w:w="21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3 - Hold (3)</w:t>
            </w:r>
          </w:p>
        </w:tc>
      </w:tr>
      <w:tr>
        <w:tblPrEx>
          <w:tblW w:w="5000" w:type="pct"/>
          <w:tblCellMar>
            <w:left w:w="0" w:type="dxa"/>
            <w:right w:w="0" w:type="dxa"/>
          </w:tblCellMar>
        </w:tblPrEx>
        <w:trPr>
          <w:cantSplit/>
          <w:trHeight w:hRule="auto" w:val="240"/>
        </w:trPr>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Std. Dev.</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4.72</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p>
        </w:tc>
        <w:tc>
          <w:tcPr>
            <w:tcW w:w="21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4 - Underperform (0)</w:t>
            </w:r>
          </w:p>
        </w:tc>
      </w:tr>
      <w:tr>
        <w:tblPrEx>
          <w:tblW w:w="5000" w:type="pct"/>
          <w:tblCellMar>
            <w:left w:w="0" w:type="dxa"/>
            <w:right w:w="0" w:type="dxa"/>
          </w:tblCellMar>
        </w:tblPrEx>
        <w:trPr>
          <w:cantSplit/>
          <w:trHeight w:hRule="auto" w:val="240"/>
        </w:trPr>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 of Estimates</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19/21</w:t>
            </w:r>
          </w:p>
        </w:tc>
        <w:tc>
          <w:tcPr>
            <w:tcW w:w="10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w:t>
            </w:r>
          </w:p>
        </w:tc>
        <w:tc>
          <w:tcPr>
            <w:tcW w:w="21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5 - Sell (0)</w:t>
            </w:r>
          </w:p>
        </w:tc>
      </w:tr>
    </w:tbl>
    <w:p w:rsidR="00A77B3E">
      <w:pPr>
        <w:pStyle w:val="Normal4"/>
        <w:keepLines/>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4"/>
          <w:u w:val="none"/>
        </w:rPr>
        <w:br/>
      </w: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5307"/>
        <w:gridCol w:w="5309"/>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26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Market Summary</w:t>
            </w:r>
          </w:p>
        </w:tc>
        <w:tc>
          <w:tcPr>
            <w:tcW w:w="26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 </w:t>
            </w:r>
          </w:p>
        </w:tc>
      </w:tr>
      <w:tr>
        <w:tblPrEx>
          <w:tblW w:w="5000" w:type="pct"/>
          <w:tblCellMar>
            <w:left w:w="0" w:type="dxa"/>
            <w:right w:w="0" w:type="dxa"/>
          </w:tblCellMar>
        </w:tblPrEx>
        <w:trPr>
          <w:cantSplit/>
          <w:trHeight w:hRule="auto" w:val="240"/>
        </w:trPr>
        <w:tc>
          <w:tcPr>
            <w:tcW w:w="2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Currency</w:t>
            </w:r>
          </w:p>
        </w:tc>
        <w:tc>
          <w:tcPr>
            <w:tcW w:w="2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US Dollar</w:t>
            </w:r>
          </w:p>
        </w:tc>
      </w:tr>
      <w:tr>
        <w:tblPrEx>
          <w:tblW w:w="5000" w:type="pct"/>
          <w:tblCellMar>
            <w:left w:w="0" w:type="dxa"/>
            <w:right w:w="0" w:type="dxa"/>
          </w:tblCellMar>
        </w:tblPrEx>
        <w:trPr>
          <w:cantSplit/>
          <w:trHeight w:hRule="auto" w:val="240"/>
        </w:trPr>
        <w:tc>
          <w:tcPr>
            <w:tcW w:w="2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Latest Price/Last Close Price</w:t>
            </w:r>
          </w:p>
        </w:tc>
        <w:tc>
          <w:tcPr>
            <w:tcW w:w="2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56.84/56.84</w:t>
            </w:r>
          </w:p>
        </w:tc>
      </w:tr>
      <w:tr>
        <w:tblPrEx>
          <w:tblW w:w="5000" w:type="pct"/>
          <w:tblCellMar>
            <w:left w:w="0" w:type="dxa"/>
            <w:right w:w="0" w:type="dxa"/>
          </w:tblCellMar>
        </w:tblPrEx>
        <w:trPr>
          <w:cantSplit/>
          <w:trHeight w:hRule="auto" w:val="240"/>
        </w:trPr>
        <w:tc>
          <w:tcPr>
            <w:tcW w:w="2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52 Wk. High/Low</w:t>
            </w:r>
          </w:p>
        </w:tc>
        <w:tc>
          <w:tcPr>
            <w:tcW w:w="2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57.55/44.06</w:t>
            </w:r>
          </w:p>
        </w:tc>
      </w:tr>
      <w:tr>
        <w:tblPrEx>
          <w:tblW w:w="5000" w:type="pct"/>
          <w:tblCellMar>
            <w:left w:w="0" w:type="dxa"/>
            <w:right w:w="0" w:type="dxa"/>
          </w:tblCellMar>
        </w:tblPrEx>
        <w:trPr>
          <w:cantSplit/>
          <w:trHeight w:hRule="auto" w:val="240"/>
        </w:trPr>
        <w:tc>
          <w:tcPr>
            <w:tcW w:w="2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Potential Upside/Diff. from Target Price</w:t>
            </w:r>
          </w:p>
        </w:tc>
        <w:tc>
          <w:tcPr>
            <w:tcW w:w="26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9.96 %/5.66</w:t>
            </w:r>
          </w:p>
        </w:tc>
      </w:tr>
    </w:tbl>
    <w:p w:rsidR="00A77B3E">
      <w:pPr>
        <w:pStyle w:val="Normal4"/>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2"/>
          <w:u w:val="none"/>
        </w:rPr>
        <w:br/>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p>
          <w:p w:rsidR="00A77B3E">
            <w:pPr>
              <w:pStyle w:val="Normal4"/>
              <w:keepLines/>
              <w:jc w:val="left"/>
              <w:rPr>
                <w:rStyle w:val="DefaultParagraphFont"/>
                <w:rFonts w:ascii="Arial" w:eastAsia="Arial" w:hAnsi="Arial" w:cs="Arial"/>
                <w:b w:val="0"/>
                <w:i w:val="0"/>
                <w:color w:val="000000"/>
                <w:sz w:val="16"/>
                <w:u w:val="none"/>
              </w:rPr>
            </w:pPr>
          </w:p>
        </w:tc>
      </w:tr>
    </w:tbl>
    <w:p w:rsidR="00A77B3E">
      <w:pPr>
        <w:pStyle w:val="Normal4"/>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2654"/>
        <w:gridCol w:w="2661"/>
        <w:gridCol w:w="2670"/>
        <w:gridCol w:w="2670"/>
      </w:tblGrid>
      <w:tr>
        <w:tblPrEx>
          <w:tblW w:w="5000" w:type="pct"/>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 </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Current Quarter</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Current Year</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NTM</w:t>
            </w:r>
          </w:p>
        </w:tc>
      </w:tr>
      <w:tr>
        <w:tblPrEx>
          <w:tblW w:w="5000" w:type="pct"/>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EPS</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1.10</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4.47</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4.55</w:t>
            </w:r>
          </w:p>
        </w:tc>
      </w:tr>
      <w:tr>
        <w:tblPrEx>
          <w:tblW w:w="5000" w:type="pct"/>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Revenue</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30,278.99</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121,170.53</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122,427.52</w:t>
            </w:r>
          </w:p>
        </w:tc>
      </w:tr>
    </w:tbl>
    <w:p w:rsidR="00A77B3E">
      <w:pPr>
        <w:pStyle w:val="Normal4"/>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Periodic Consensus</w:t>
            </w:r>
          </w:p>
          <w:p w:rsidR="00A77B3E">
            <w:pPr>
              <w:pStyle w:val="Normal4"/>
              <w:keepLines/>
              <w:jc w:val="left"/>
              <w:rPr>
                <w:rStyle w:val="DefaultParagraphFont"/>
                <w:rFonts w:ascii="Arial" w:eastAsia="Arial" w:hAnsi="Arial" w:cs="Arial"/>
                <w:b/>
                <w:i w:val="0"/>
                <w:color w:val="FFFFFF"/>
                <w:sz w:val="16"/>
                <w:u w:val="none"/>
              </w:rPr>
            </w:pPr>
          </w:p>
        </w:tc>
      </w:tr>
    </w:tbl>
    <w:p w:rsidR="00A77B3E">
      <w:pPr>
        <w:pStyle w:val="Normal4"/>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270"/>
        <w:gridCol w:w="1391"/>
        <w:gridCol w:w="1391"/>
        <w:gridCol w:w="1391"/>
        <w:gridCol w:w="1391"/>
        <w:gridCol w:w="1391"/>
        <w:gridCol w:w="1391"/>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5000" w:type="pct"/>
            <w:gridSpan w:val="7"/>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Fiscal Years</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2023</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2024</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2025</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2027</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2028</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EPS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3.08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3.29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3.81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4.47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5.06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5.71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4.46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5.10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5.65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4.65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5.29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6.09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3.70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4.38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4.79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5.40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0.27</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19/26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10/20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24/24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24/22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23/22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8/9</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EPS (GAAP)</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3.08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3.21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3.81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4.48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5.05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5.75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4.47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5.09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5.78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4.65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5.25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6.06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3.70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4.38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4.79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5.40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0.26</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16/22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20/20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21/18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20/18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7/6</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DPS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0.92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1.08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1.31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1.45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1.66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1.38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0.11</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21/21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19/18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19/16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18/15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Book Value / Share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33.34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35.79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38.44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40.39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43.25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46.90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34.91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38.35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33.07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35.63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38.42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40.53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43.35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46.78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36.51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35.87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38.99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41.39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45.46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47.78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32.82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25.90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37.32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39.46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40.89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46.03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0.54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0.69</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14/13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15/13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15/13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6/5</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Revenue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99,148.00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102,506.00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113,706.00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121,170.53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127,342.41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133,051.23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100,859.41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102,231.77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110,937.67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100,831.52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102,291.31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109,889.00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121,196.00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126,774.43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132,822.01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101,328.00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102,612.56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114,378.00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121,766.70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131,016.83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137,902.14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100,317.12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101,874.00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109,142.38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120,411.00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125,315.00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129,303.63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274.31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256.21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1,979.59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460.52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1,343.63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2,811.57</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15/24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14/21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15/20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16/20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EBITDA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34,793.00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38,250.54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38,250.54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38,250.54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38,250.54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EBIT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32,736.00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35,775.00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43,370.00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48,423.20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52,277.20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54,478.06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35,811.10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35,769.50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41,226.88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35,917.01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35,810.00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39,727.50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48,293.00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52,279.00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53,108.00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37,614.00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36,606.00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44,701.00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49,605.00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54,991.00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60,015.00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33,989.00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34,860.00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38,587.00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47,830.00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50,839.00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50,311.19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1,352.30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708.93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2,530.88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594.14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1,222.01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4,994.88</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8/11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EBT (Excl. Excep)</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28,342.00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29,954.00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37,695.00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42,590.45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45,587.33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48,556.98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30,889.34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29,357.09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35,320.43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31,004.03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29,309.85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33,871.00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42,310.00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45,297.00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48,803.19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32,859.27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30,009.00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39,235.00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47,394.00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51,626.00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51,848.00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28,787.26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28,751.04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32,688.04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40,345.15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43,397.65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46,504.00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1,282.07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404.88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2,373.07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1,421.97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1,849.51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2,081.34</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17/15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Net Income (Excl. Excep)</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24,866.00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26,003.00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29,055.00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32,620.80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34,897.50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37,108.52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27,631.83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25,468.43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29,154.00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27,484.80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25,285.25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29,003.90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32,389.51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34,721.00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36,733.39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28,505.00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25,810.83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30,454.00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34,548.00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37,948.00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41,478.00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27,152.26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25,230.00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28,378.24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31,831.36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32,894.48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34,968.00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450.29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281.14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513.59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729.56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1,259.31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2,226.39</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10/23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5/17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18/21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18/19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19/19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8/7</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Net Asset Value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291,646.00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295,559.00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303,243.00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299,599.00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300,571.00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328,000.00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278,944.67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284,122.00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299,133.25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288,579.50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284,770.00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303,998.50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300,989.00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300,437.50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328,000.00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291,000.00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299,389.00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312,000.00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314,232.00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315,000.00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328,000.00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254,741.00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267,559.00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276,536.00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278,176.00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286,409.00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328,000.00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16,433.36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16,677.33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15,529.87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13,184.92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11,683.99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ROE %</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9.75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9.53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10.59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11.78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12.62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13.79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10.73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9.64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10.67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10.45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9.40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11.69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12.45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13.01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15.20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12.90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14.20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16.40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17.80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18.60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9.60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8.70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9.70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11.90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2.46</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18/18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14/15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17/17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17/15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6/5</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ROA %</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0.84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0.83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0.87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0.97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0.99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1.03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0.78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0.06</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15/15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w:t>
            </w:r>
          </w:p>
        </w:tc>
      </w:tr>
    </w:tbl>
    <w:p w:rsidR="00A77B3E">
      <w:pPr>
        <w:pStyle w:val="Normal4"/>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4"/>
          <w:u w:val="none"/>
        </w:rPr>
        <w:br/>
      </w: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279"/>
        <w:gridCol w:w="1394"/>
        <w:gridCol w:w="1394"/>
        <w:gridCol w:w="1394"/>
        <w:gridCol w:w="1394"/>
        <w:gridCol w:w="1380"/>
        <w:gridCol w:w="1380"/>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5000" w:type="pct"/>
            <w:gridSpan w:val="7"/>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Fiscal Quarters</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FQ1 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FQ2 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FQ3 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FQ4 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FQ1 2027</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FQ2 2027</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Mar 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 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Sep 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Dec 2026</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Mar 2027</w:t>
            </w:r>
          </w:p>
        </w:tc>
        <w:tc>
          <w:tcPr>
            <w:tcW w:w="7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 2027</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EPS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1.11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1.30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1.28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1.42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1.24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0.07</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20/21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5/6</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EPS (GAAP)</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1.11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1.27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1.27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1.24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16/17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4/5</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DPS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0.28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0.31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0.31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0.32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0.32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0.32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0.36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5/5</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Book Value / Share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38.66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39.14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39.76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40.36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41.21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41.93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38.89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39.02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39.29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40.54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41.20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41.88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39.36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39.70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40.34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40.94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41.30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42.09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37.60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38.21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38.89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39.46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41.12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41.83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0.44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0.41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0.43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0.48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0.14</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Revenue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30,434.00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30,278.99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30,534.55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30,063.46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31,550.52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31,817.20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29,931.43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29,963.65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30,163.50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30,531.37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30,065.00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31,579.50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31,640.00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30,461.42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30,733.80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30,866.05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30,461.63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31,930.52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32,826.10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29,000.00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29,957.00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30,111.00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29,730.20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31,049.67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31,217.91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354.75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253.82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206.23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209.01</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302.69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622.62</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14/19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5/6</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EBIT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11,741.00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12,054.57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12,480.14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12,074.71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12,505.50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13,089.50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11,478.44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11,505.00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11,912.00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12,460.00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12,009.00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12,505.50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13,089.50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11,753.00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12,391.00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12,637.00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12,421.00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12,596.00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13,306.00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11,232.00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11,867.00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12,399.00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11,822.00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12,415.00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12,873.00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178.56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223.65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77.37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190.16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127.99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306.18</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2/2</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EBT (Excl. Excep)</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10,404.00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10,520.18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10,888.25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10,450.56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10,770.42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11,351.12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9,925.77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9,937.00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10,397.00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10,896.00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10,383.00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10,773.91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11,304.00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10,227.00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10,919.00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11,164.00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10,935.00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10,909.00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11,609.00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9,246.00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10,310.00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10,607.75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9,872.95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10,624.85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11,140.35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238.65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223.56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171.12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294.80</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130.89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237.85</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Net Income (Excl. Excep)</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8,155.00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8,047.73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8,193.41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8,010.54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8,221.97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8,725.07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7,470.38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7,504.00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8,007.00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8,178.00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8,008.00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8,177.13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8,707.64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8,144.00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8,291.00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8,491.00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8,409.00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8,572.00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9,016.00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6,875.00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7,850.00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8,029.03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7,552.40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8,051.00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8,469.00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305.62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152.45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148.89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214.65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206.76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245.80</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14/16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5/6</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4/5</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Net Asset Value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300,668.00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219,409.25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292,924.00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293,254.33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290,960.00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290,960.00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288,502.50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300,523.00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300,598.00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302,880.00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300,630.00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300,897.00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300,989.00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279,040.00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277,352.00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278,176.00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16,857.43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146,717.32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13,487.04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13,059.68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2/3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ROE %</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11.95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11.69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11.81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11.43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11.98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12.67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10.75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11.71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11.80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11.50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11.90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12.61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11.10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11.96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12.08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11.70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12.60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13.00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9.60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11.49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11.51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10.80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11.54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12.41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0.47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0.18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0.19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0.28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0.45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0.30</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9/9</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ROA %</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0.99 A</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0.96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0.97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0.94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0.97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1.00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Final Est.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Median</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0.96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0.93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0.99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High</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1.05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1.03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Low</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0.87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0.91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0.92 E</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0.98 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Std. Dev.</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0.04</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0.02</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0.05</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0.03</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No. of Estimates</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8/8</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7/7</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c>
          <w:tcPr>
            <w:tcW w:w="7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4"/>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3/3</w:t>
            </w:r>
          </w:p>
        </w:tc>
      </w:tr>
    </w:tbl>
    <w:p w:rsidR="00A77B3E">
      <w:pPr>
        <w:pStyle w:val="Normal4"/>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4"/>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bookmarkStart w:id="31" w:name="bookmark-25End"/>
      <w:r>
        <w:rPr>
          <w:rStyle w:val="DefaultParagraphFont"/>
          <w:rFonts w:ascii="Arial" w:eastAsia="Arial" w:hAnsi="Arial" w:cs="Arial"/>
          <w:b w:val="0"/>
          <w:i w:val="0"/>
          <w:color w:val="FFFFFF"/>
          <w:sz w:val="0"/>
          <w:u w:val="none"/>
        </w:rPr>
        <w:t>Bookmark</w:t>
      </w:r>
      <w:bookmarkEnd w:id="31"/>
    </w:p>
    <w:p w:rsidR="00A77B3E">
      <w:pPr>
        <w:pStyle w:val="Normal5"/>
        <w:keepLines/>
        <w:rPr>
          <w:rStyle w:val="DefaultParagraphFont"/>
        </w:rPr>
      </w:pPr>
      <w:bookmarkStart w:id="32" w:name="bookmark-27"/>
      <w:r>
        <w:rPr>
          <w:rStyle w:val="DefaultParagraphFont"/>
          <w:rFonts w:ascii="Arial" w:eastAsia="Arial" w:hAnsi="Arial" w:cs="Arial"/>
          <w:b w:val="0"/>
          <w:i w:val="0"/>
          <w:color w:val="FFFFFF"/>
          <w:sz w:val="0"/>
          <w:u w:val="none"/>
        </w:rPr>
        <w:t>Bookmark</w:t>
      </w:r>
      <w:bookmarkEnd w:id="32"/>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10616"/>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500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5"/>
              <w:keepLines/>
              <w:jc w:val="center"/>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60pt;width:521.3pt">
                  <v:imagedata r:id="rId10" o:title=""/>
                </v:shape>
              </w:pict>
            </w:r>
          </w:p>
        </w:tc>
      </w:tr>
      <w:tr>
        <w:tblPrEx>
          <w:tblW w:w="5000" w:type="pct"/>
          <w:tblCellMar>
            <w:left w:w="0" w:type="dxa"/>
            <w:right w:w="0" w:type="dxa"/>
          </w:tblCellMar>
        </w:tblPrEx>
        <w:trPr>
          <w:cantSplit/>
          <w:trHeight w:hRule="auto" w:val="240"/>
        </w:trPr>
        <w:tc>
          <w:tcPr>
            <w:tcW w:w="500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5"/>
              <w:keepLines/>
              <w:jc w:val="center"/>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pict>
                <v:shape id="_x0000_i1026" type="#_x0000_t75" style="height:93.6pt;width:521.3pt">
                  <v:imagedata r:id="rId11" o:title=""/>
                </v:shape>
              </w:pict>
            </w:r>
          </w:p>
        </w:tc>
      </w:tr>
    </w:tbl>
    <w:p w:rsidR="00A77B3E">
      <w:pPr>
        <w:pStyle w:val="Normal5"/>
        <w:keepLines/>
        <w:rPr>
          <w:rStyle w:val="DefaultParagraphFont"/>
          <w:rFonts w:ascii="Arial" w:eastAsia="Arial" w:hAnsi="Arial" w:cs="Arial"/>
          <w:b w:val="0"/>
          <w:i w:val="0"/>
          <w:color w:val="000000"/>
          <w:sz w:val="16"/>
          <w:u w:val="none"/>
        </w:rPr>
        <w:sectPr>
          <w:headerReference w:type="default" r:id="rId12"/>
          <w:pgSz w:w="12240" w:h="15840"/>
          <w:pgMar w:top="1440" w:right="792" w:bottom="1440" w:left="792" w:header="490" w:footer="619" w:gutter="0"/>
          <w:cols w:space="708"/>
          <w:docGrid w:linePitch="360"/>
        </w:sectPr>
      </w:pPr>
    </w:p>
    <w:p w:rsidR="00A77B3E">
      <w:pPr>
        <w:pStyle w:val="Normal5"/>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bookmarkStart w:id="33" w:name="bookmark-28"/>
      <w:r>
        <w:rPr>
          <w:rStyle w:val="DefaultParagraphFont"/>
          <w:rFonts w:ascii="Arial" w:eastAsia="Arial" w:hAnsi="Arial" w:cs="Arial"/>
          <w:b w:val="0"/>
          <w:i w:val="0"/>
          <w:color w:val="FFFFFF"/>
          <w:sz w:val="0"/>
          <w:u w:val="none"/>
        </w:rPr>
        <w:t>Bookmark</w:t>
      </w:r>
      <w:bookmarkEnd w:id="33"/>
      <w:bookmarkStart w:id="34" w:name="bookmark-27End"/>
      <w:r>
        <w:rPr>
          <w:rStyle w:val="DefaultParagraphFont"/>
          <w:rFonts w:ascii="Arial" w:eastAsia="Arial" w:hAnsi="Arial" w:cs="Arial"/>
          <w:b w:val="0"/>
          <w:i w:val="0"/>
          <w:color w:val="FFFFFF"/>
          <w:sz w:val="0"/>
          <w:u w:val="none"/>
        </w:rPr>
        <w:t>Bookmark</w:t>
      </w:r>
      <w:bookmarkEnd w:id="34"/>
    </w:p>
    <w:p w:rsidR="00A77B3E">
      <w:pPr>
        <w:pStyle w:val="Normal6"/>
        <w:keepLines/>
        <w:rPr>
          <w:rStyle w:val="DefaultParagraphFont"/>
        </w:rPr>
      </w:pPr>
      <w:bookmarkStart w:id="35" w:name="bookmark-29"/>
      <w:r>
        <w:rPr>
          <w:rStyle w:val="DefaultParagraphFont"/>
          <w:rFonts w:ascii="Arial" w:eastAsia="Arial" w:hAnsi="Arial" w:cs="Arial"/>
          <w:b w:val="0"/>
          <w:i w:val="0"/>
          <w:color w:val="FFFFFF"/>
          <w:sz w:val="0"/>
          <w:u w:val="none"/>
        </w:rPr>
        <w:t>Bookmark</w:t>
      </w:r>
      <w:bookmarkEnd w:id="35"/>
      <w:bookmarkStart w:id="36" w:name="bookmark-30"/>
      <w:r>
        <w:rPr>
          <w:rStyle w:val="DefaultParagraphFont"/>
          <w:rFonts w:ascii="Arial" w:eastAsia="Arial" w:hAnsi="Arial" w:cs="Arial"/>
          <w:b w:val="0"/>
          <w:i w:val="0"/>
          <w:color w:val="FFFFFF"/>
          <w:sz w:val="0"/>
          <w:u w:val="none"/>
        </w:rPr>
        <w:t>Bookmark</w:t>
      </w:r>
      <w:bookmarkEnd w:id="36"/>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6"/>
              <w:keepLines/>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6"/>
              <w:keepLines/>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Summary Public Offerings/Shelf Registrations</w:t>
            </w:r>
          </w:p>
          <w:p w:rsidR="00A77B3E">
            <w:pPr>
              <w:pStyle w:val="Normal6"/>
              <w:keepLines/>
              <w:rPr>
                <w:rStyle w:val="DefaultParagraphFont"/>
                <w:rFonts w:ascii="Arial" w:eastAsia="Arial" w:hAnsi="Arial" w:cs="Arial"/>
                <w:b/>
                <w:i w:val="0"/>
                <w:color w:val="FFFFFF"/>
                <w:sz w:val="16"/>
                <w:u w:val="none"/>
              </w:rPr>
            </w:pPr>
          </w:p>
        </w:tc>
      </w:tr>
    </w:tbl>
    <w:p w:rsidR="00A77B3E">
      <w:pPr>
        <w:pStyle w:val="Normal6"/>
        <w:keepLines/>
        <w:rPr>
          <w:rStyle w:val="DefaultParagraphFont"/>
          <w:rFonts w:ascii="Arial" w:eastAsia="Arial" w:hAnsi="Arial" w:cs="Arial"/>
          <w:b w:val="0"/>
          <w:i w:val="0"/>
          <w:color w:val="000000"/>
          <w:sz w:val="16"/>
          <w:u w:val="none"/>
        </w:rPr>
        <w:sectPr>
          <w:headerReference w:type="default" r:id="rId13"/>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668"/>
        <w:gridCol w:w="2671"/>
        <w:gridCol w:w="2660"/>
        <w:gridCol w:w="2617"/>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Announced Date</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Issuer</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Status</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Size (USD mm)</w:t>
            </w:r>
          </w:p>
        </w:tc>
      </w:tr>
      <w:tr>
        <w:tblPrEx>
          <w:tblW w:w="5000" w:type="pct"/>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Jun-11-2026</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(NYSE:BAC)</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Announced</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5000" w:type="pct"/>
            <w:gridSpan w:val="4"/>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Issuer Advisors: </w:t>
            </w:r>
            <w:r>
              <w:rPr>
                <w:rStyle w:val="DefaultParagraphFont"/>
                <w:rFonts w:ascii="Arial" w:eastAsia="Arial" w:hAnsi="Arial" w:cs="Arial"/>
                <w:b w:val="0"/>
                <w:i w:val="0"/>
                <w:color w:val="000000"/>
                <w:sz w:val="16"/>
                <w:u w:val="none"/>
              </w:rPr>
              <w:t>BofA Securities, Inc. (Underwriter); The Bank of New York Mellon Trust Company, National Association (Trustee); The Depository Trust Company (Transfer Agent/Registrar)</w:t>
            </w:r>
            <w:r>
              <w:rPr>
                <w:rStyle w:val="DefaultParagraphFont"/>
                <w:rFonts w:ascii="Arial" w:eastAsia="Arial" w:hAnsi="Arial" w:cs="Arial"/>
                <w:b w:val="0"/>
                <w:i w:val="0"/>
                <w:color w:val="000000"/>
                <w:sz w:val="8"/>
                <w:u w:val="none"/>
              </w:rPr>
              <w:br/>
            </w:r>
            <w:r>
              <w:rPr>
                <w:rStyle w:val="DefaultParagraphFont"/>
                <w:rFonts w:ascii="Arial" w:eastAsia="Arial" w:hAnsi="Arial" w:cs="Arial"/>
                <w:b/>
                <w:i w:val="0"/>
                <w:color w:val="000000"/>
                <w:sz w:val="16"/>
                <w:u w:val="none"/>
              </w:rPr>
              <w:t xml:space="preserve">Synopsis: </w:t>
            </w:r>
            <w:r>
              <w:rPr>
                <w:rStyle w:val="DefaultParagraphFont"/>
                <w:rFonts w:ascii="Arial" w:eastAsia="Arial" w:hAnsi="Arial" w:cs="Arial"/>
                <w:b w:val="0"/>
                <w:i w:val="0"/>
                <w:color w:val="000000"/>
                <w:sz w:val="16"/>
                <w:u w:val="none"/>
              </w:rPr>
              <w:t>Trade Date is June 17,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Issue Date is June 22,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Interest on the Notes will be Payable Annually on June 22 of each year, commencing on June 22, 2027, with the final interest payment date occurring on the maturity date.</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Yield to Maturity on the Notes is 5.85% per annum.</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Notes belongs to Senior Medium-Term Notes, Series P.</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Pre-Deal Situation: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Deal Resolution: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2"/>
                <w:u w:val="none"/>
              </w:rPr>
              <w:br/>
            </w:r>
          </w:p>
        </w:tc>
      </w:tr>
    </w:tbl>
    <w:p w:rsidR="00A77B3E">
      <w:pPr>
        <w:pStyle w:val="Normal6"/>
        <w:keepLines/>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4"/>
          <w:u w:val="none"/>
        </w:rPr>
        <w:br/>
      </w: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668"/>
        <w:gridCol w:w="2671"/>
        <w:gridCol w:w="2660"/>
        <w:gridCol w:w="2617"/>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Announced Date</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Issuer</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Status</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Size (USD mm)</w:t>
            </w:r>
          </w:p>
        </w:tc>
      </w:tr>
      <w:tr>
        <w:tblPrEx>
          <w:tblW w:w="5000" w:type="pct"/>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Jun-11-2026</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(NYSE:BAC)</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Announced</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5000" w:type="pct"/>
            <w:gridSpan w:val="4"/>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Issuer Advisors: </w:t>
            </w:r>
            <w:r>
              <w:rPr>
                <w:rStyle w:val="DefaultParagraphFont"/>
                <w:rFonts w:ascii="Arial" w:eastAsia="Arial" w:hAnsi="Arial" w:cs="Arial"/>
                <w:b w:val="0"/>
                <w:i w:val="0"/>
                <w:color w:val="000000"/>
                <w:sz w:val="16"/>
                <w:u w:val="none"/>
              </w:rPr>
              <w:t>BofA Securities, Inc. (Underwriter); The Bank of New York Mellon Trust Company, National Association (Transfer Agent/Registrar); The Bank of New York Mellon Trust Company, National Association (Trustee); The Depository Trust Company (Transfer Agent/Registrar)</w:t>
            </w:r>
            <w:r>
              <w:rPr>
                <w:rStyle w:val="DefaultParagraphFont"/>
                <w:rFonts w:ascii="Arial" w:eastAsia="Arial" w:hAnsi="Arial" w:cs="Arial"/>
                <w:b w:val="0"/>
                <w:i w:val="0"/>
                <w:color w:val="000000"/>
                <w:sz w:val="8"/>
                <w:u w:val="none"/>
              </w:rPr>
              <w:br/>
            </w:r>
            <w:r>
              <w:rPr>
                <w:rStyle w:val="DefaultParagraphFont"/>
                <w:rFonts w:ascii="Arial" w:eastAsia="Arial" w:hAnsi="Arial" w:cs="Arial"/>
                <w:b/>
                <w:i w:val="0"/>
                <w:color w:val="000000"/>
                <w:sz w:val="16"/>
                <w:u w:val="none"/>
              </w:rPr>
              <w:t xml:space="preserve">Synopsis: </w:t>
            </w:r>
            <w:r>
              <w:rPr>
                <w:rStyle w:val="DefaultParagraphFont"/>
                <w:rFonts w:ascii="Arial" w:eastAsia="Arial" w:hAnsi="Arial" w:cs="Arial"/>
                <w:b w:val="0"/>
                <w:i w:val="0"/>
                <w:color w:val="000000"/>
                <w:sz w:val="16"/>
                <w:u w:val="none"/>
              </w:rPr>
              <w:t>The notes will price on June 18,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Interest on the notes is payable semi-annually on June 23 and December 23 of each year, commencing on December 23, 2026, with the final interest payment date occurring on the maturity date.</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issue date is June 23,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notes belong to series P.</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Pre-Deal Situation: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Deal Resolution: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2"/>
                <w:u w:val="none"/>
              </w:rPr>
              <w:br/>
            </w:r>
          </w:p>
        </w:tc>
      </w:tr>
    </w:tbl>
    <w:p w:rsidR="00A77B3E">
      <w:pPr>
        <w:pStyle w:val="Normal6"/>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4"/>
          <w:u w:val="none"/>
        </w:rPr>
        <w:br/>
      </w: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675"/>
        <w:gridCol w:w="2679"/>
        <w:gridCol w:w="2637"/>
        <w:gridCol w:w="2626"/>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Announced Date</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Issuer</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Status</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Size (USD mm)</w:t>
            </w:r>
          </w:p>
        </w:tc>
      </w:tr>
      <w:tr>
        <w:tblPrEx>
          <w:tblW w:w="5000" w:type="pct"/>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Jun-10-2026</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(NYSE:BAC)</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Closed</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0.45</w:t>
            </w:r>
          </w:p>
        </w:tc>
      </w:tr>
      <w:tr>
        <w:tblPrEx>
          <w:tblW w:w="5000" w:type="pct"/>
          <w:tblCellMar>
            <w:left w:w="0" w:type="dxa"/>
            <w:right w:w="0" w:type="dxa"/>
          </w:tblCellMar>
        </w:tblPrEx>
        <w:trPr>
          <w:cantSplit/>
          <w:trHeight w:hRule="auto" w:val="240"/>
        </w:trPr>
        <w:tc>
          <w:tcPr>
            <w:tcW w:w="5000" w:type="pct"/>
            <w:gridSpan w:val="4"/>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Issuer Advisors: </w:t>
            </w:r>
            <w:r>
              <w:rPr>
                <w:rStyle w:val="DefaultParagraphFont"/>
                <w:rFonts w:ascii="Arial" w:eastAsia="Arial" w:hAnsi="Arial" w:cs="Arial"/>
                <w:b w:val="0"/>
                <w:i w:val="0"/>
                <w:color w:val="000000"/>
                <w:sz w:val="16"/>
                <w:u w:val="none"/>
              </w:rPr>
              <w:t>BofA Securities, Inc. (Underwriter); Sidley Austin LLP (Legal Advisor); The Bank of New York Mellon Trust Company, N.A. (Transfer Agent/Registrar); The Bank of New York Mellon Trust Company, N.A. (Trustee); The Depository Trust Company (Transfer Agent/Registrar)</w:t>
            </w:r>
            <w:r>
              <w:rPr>
                <w:rStyle w:val="DefaultParagraphFont"/>
                <w:rFonts w:ascii="Arial" w:eastAsia="Arial" w:hAnsi="Arial" w:cs="Arial"/>
                <w:b w:val="0"/>
                <w:i w:val="0"/>
                <w:color w:val="000000"/>
                <w:sz w:val="8"/>
                <w:u w:val="none"/>
              </w:rPr>
              <w:br/>
            </w:r>
            <w:r>
              <w:rPr>
                <w:rStyle w:val="DefaultParagraphFont"/>
                <w:rFonts w:ascii="Arial" w:eastAsia="Arial" w:hAnsi="Arial" w:cs="Arial"/>
                <w:b/>
                <w:i w:val="0"/>
                <w:color w:val="000000"/>
                <w:sz w:val="16"/>
                <w:u w:val="none"/>
              </w:rPr>
              <w:t xml:space="preserve">Synopsis: </w:t>
            </w:r>
            <w:r>
              <w:rPr>
                <w:rStyle w:val="DefaultParagraphFont"/>
                <w:rFonts w:ascii="Arial" w:eastAsia="Arial" w:hAnsi="Arial" w:cs="Arial"/>
                <w:b w:val="0"/>
                <w:i w:val="0"/>
                <w:color w:val="000000"/>
                <w:sz w:val="16"/>
                <w:u w:val="none"/>
              </w:rPr>
              <w:t>The Notes belong to Senior Medium-Term Notes, Series P.</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Pricing Date is June 10,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Issue Date is June 12,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notes do not pay any interest.</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Pre-Deal Situation: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Deal Resolution: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2"/>
                <w:u w:val="none"/>
              </w:rPr>
              <w:br/>
            </w:r>
          </w:p>
        </w:tc>
      </w:tr>
    </w:tbl>
    <w:p w:rsidR="00A77B3E">
      <w:pPr>
        <w:pStyle w:val="Normal6"/>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4"/>
          <w:u w:val="none"/>
        </w:rPr>
        <w:br/>
      </w: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675"/>
        <w:gridCol w:w="2678"/>
        <w:gridCol w:w="2636"/>
        <w:gridCol w:w="2627"/>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Announced Date</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Issuer</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Status</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Size (USD mm)</w:t>
            </w:r>
          </w:p>
        </w:tc>
      </w:tr>
      <w:tr>
        <w:tblPrEx>
          <w:tblW w:w="5000" w:type="pct"/>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Jun-08-2026</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(NYSE:BAC)</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Closed</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50.00</w:t>
            </w:r>
          </w:p>
        </w:tc>
      </w:tr>
      <w:tr>
        <w:tblPrEx>
          <w:tblW w:w="5000" w:type="pct"/>
          <w:tblCellMar>
            <w:left w:w="0" w:type="dxa"/>
            <w:right w:w="0" w:type="dxa"/>
          </w:tblCellMar>
        </w:tblPrEx>
        <w:trPr>
          <w:cantSplit/>
          <w:trHeight w:hRule="auto" w:val="240"/>
        </w:trPr>
        <w:tc>
          <w:tcPr>
            <w:tcW w:w="5000" w:type="pct"/>
            <w:gridSpan w:val="4"/>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Issuer Advisors: </w:t>
            </w:r>
            <w:r>
              <w:rPr>
                <w:rStyle w:val="DefaultParagraphFont"/>
                <w:rFonts w:ascii="Arial" w:eastAsia="Arial" w:hAnsi="Arial" w:cs="Arial"/>
                <w:b w:val="0"/>
                <w:i w:val="0"/>
                <w:color w:val="000000"/>
                <w:sz w:val="16"/>
                <w:u w:val="none"/>
              </w:rPr>
              <w:t>BofA Securities, Inc. (Underwriter); Sidley Austin LLP (Legal Advisor); The Bank of New York Mellon Trust Company, N.A. (Transfer Agent/Registrar); The Bank of New York Mellon Trust Company, N.A. (Trustee); The Depository Trust Company (Transfer Agent/Registrar)</w:t>
            </w:r>
            <w:r>
              <w:rPr>
                <w:rStyle w:val="DefaultParagraphFont"/>
                <w:rFonts w:ascii="Arial" w:eastAsia="Arial" w:hAnsi="Arial" w:cs="Arial"/>
                <w:b w:val="0"/>
                <w:i w:val="0"/>
                <w:color w:val="000000"/>
                <w:sz w:val="8"/>
                <w:u w:val="none"/>
              </w:rPr>
              <w:br/>
            </w:r>
            <w:r>
              <w:rPr>
                <w:rStyle w:val="DefaultParagraphFont"/>
                <w:rFonts w:ascii="Arial" w:eastAsia="Arial" w:hAnsi="Arial" w:cs="Arial"/>
                <w:b/>
                <w:i w:val="0"/>
                <w:color w:val="000000"/>
                <w:sz w:val="16"/>
                <w:u w:val="none"/>
              </w:rPr>
              <w:t xml:space="preserve">Synopsis: </w:t>
            </w:r>
            <w:r>
              <w:rPr>
                <w:rStyle w:val="DefaultParagraphFont"/>
                <w:rFonts w:ascii="Arial" w:eastAsia="Arial" w:hAnsi="Arial" w:cs="Arial"/>
                <w:b w:val="0"/>
                <w:i w:val="0"/>
                <w:color w:val="000000"/>
                <w:sz w:val="16"/>
                <w:u w:val="none"/>
              </w:rPr>
              <w:t>The Notes belongs to Senior Medium-Term Notes, Series P.</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Pricing date is June 9,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Interest on the notes will be payable semi annually on June 11 and December 11 of each year, commencing on December 11,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Certain dealers who purchase the notes for sale to certain fee-based advisory accounts may forgo some or all of their selling concessions, fees or commissions. The price to public for investors purchasing the notes in these accounts may be as low as $998.50 (99.85%) per $1,000 in principal amount of the notes.</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Company or one of affiliates may pay varying selling concessions of up to 0.15% in connection with the distribution of the notes to other registered broker-dealers.</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Issue Date is June 11, 2026.</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Pre-Deal Situation: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Deal Resolution: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2"/>
                <w:u w:val="none"/>
              </w:rPr>
              <w:br/>
            </w:r>
          </w:p>
        </w:tc>
      </w:tr>
    </w:tbl>
    <w:p w:rsidR="00A77B3E">
      <w:pPr>
        <w:pStyle w:val="Normal6"/>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4"/>
          <w:u w:val="none"/>
        </w:rPr>
        <w:br/>
      </w: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668"/>
        <w:gridCol w:w="2671"/>
        <w:gridCol w:w="2660"/>
        <w:gridCol w:w="2617"/>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Announced Date</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Issuer</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Status</w:t>
            </w:r>
          </w:p>
        </w:tc>
        <w:tc>
          <w:tcPr>
            <w:tcW w:w="13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Size (USD mm)</w:t>
            </w:r>
          </w:p>
        </w:tc>
      </w:tr>
      <w:tr>
        <w:tblPrEx>
          <w:tblW w:w="5000" w:type="pct"/>
          <w:tblCellMar>
            <w:left w:w="0" w:type="dxa"/>
            <w:right w:w="0" w:type="dxa"/>
          </w:tblCellMar>
        </w:tblPrEx>
        <w:trPr>
          <w:cantSplit/>
          <w:trHeight w:hRule="auto" w:val="240"/>
        </w:trPr>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Jun-08-2026</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(NYSE:BAC)</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Announced</w:t>
            </w:r>
          </w:p>
        </w:tc>
        <w:tc>
          <w:tcPr>
            <w:tcW w:w="13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t>
            </w:r>
          </w:p>
        </w:tc>
      </w:tr>
      <w:tr>
        <w:tblPrEx>
          <w:tblW w:w="5000" w:type="pct"/>
          <w:tblCellMar>
            <w:left w:w="0" w:type="dxa"/>
            <w:right w:w="0" w:type="dxa"/>
          </w:tblCellMar>
        </w:tblPrEx>
        <w:trPr>
          <w:cantSplit/>
          <w:trHeight w:hRule="auto" w:val="240"/>
        </w:trPr>
        <w:tc>
          <w:tcPr>
            <w:tcW w:w="5000" w:type="pct"/>
            <w:gridSpan w:val="4"/>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Issuer Advisors: </w:t>
            </w:r>
            <w:r>
              <w:rPr>
                <w:rStyle w:val="DefaultParagraphFont"/>
                <w:rFonts w:ascii="Arial" w:eastAsia="Arial" w:hAnsi="Arial" w:cs="Arial"/>
                <w:b w:val="0"/>
                <w:i w:val="0"/>
                <w:color w:val="000000"/>
                <w:sz w:val="16"/>
                <w:u w:val="none"/>
              </w:rPr>
              <w:t>BofA Securities, Inc. (Underwriter); The Bank of New York Mellon Trust Company, N.A. (Transfer Agent/Registrar); The Bank of New York Mellon Trust Company, N.A. (Trustee); The Depository Trust Company (Transfer Agent/Registrar)</w:t>
            </w:r>
            <w:r>
              <w:rPr>
                <w:rStyle w:val="DefaultParagraphFont"/>
                <w:rFonts w:ascii="Arial" w:eastAsia="Arial" w:hAnsi="Arial" w:cs="Arial"/>
                <w:b w:val="0"/>
                <w:i w:val="0"/>
                <w:color w:val="000000"/>
                <w:sz w:val="8"/>
                <w:u w:val="none"/>
              </w:rPr>
              <w:br/>
            </w:r>
            <w:r>
              <w:rPr>
                <w:rStyle w:val="DefaultParagraphFont"/>
                <w:rFonts w:ascii="Arial" w:eastAsia="Arial" w:hAnsi="Arial" w:cs="Arial"/>
                <w:b/>
                <w:i w:val="0"/>
                <w:color w:val="000000"/>
                <w:sz w:val="16"/>
                <w:u w:val="none"/>
              </w:rPr>
              <w:t xml:space="preserve">Synopsis: </w:t>
            </w:r>
            <w:r>
              <w:rPr>
                <w:rStyle w:val="DefaultParagraphFont"/>
                <w:rFonts w:ascii="Arial" w:eastAsia="Arial" w:hAnsi="Arial" w:cs="Arial"/>
                <w:b w:val="0"/>
                <w:i w:val="0"/>
                <w:color w:val="000000"/>
                <w:sz w:val="16"/>
                <w:u w:val="none"/>
              </w:rPr>
              <w:t>Issue Date is June 23,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Pricing Date is June 18,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Interest will be payable Semi-annually on June 23 and December 23 of each year, beginning on December 23, 2026.</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company or one of its affiliates may pay varying selling concessions of up to 1.50% in connection with the distribution of the notes to other registered broker-dealers.</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Certain dealers who purchase the notes for sale to certain fee-based advisory accounts may forgo some or all of their selling concessions, fees or commissions. The price to public for investors purchasing the notes in these accounts may be as low as $985.00 (98.50%) per $1,000 in principal amount of the notes.</w:t>
            </w:r>
          </w:p>
          <w:p w:rsidR="00A77B3E">
            <w:pPr>
              <w:pStyle w:val="Normal6"/>
              <w:keepLines/>
              <w:jc w:val="left"/>
              <w:rPr>
                <w:rStyle w:val="DefaultParagraphFont"/>
                <w:rFonts w:ascii="Arial" w:eastAsia="Arial" w:hAnsi="Arial" w:cs="Arial"/>
                <w:b w:val="0"/>
                <w:i w:val="0"/>
                <w:color w:val="000000"/>
                <w:sz w:val="16"/>
                <w:u w:val="none"/>
              </w:rPr>
            </w:pPr>
          </w:p>
          <w:p w:rsidR="00A77B3E">
            <w:pPr>
              <w:pStyle w:val="Normal6"/>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Notes belong to Senior Medium-Term Notes, Series P.</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Pre-Deal Situation: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4"/>
                <w:u w:val="none"/>
              </w:rPr>
              <w:br/>
            </w:r>
            <w:r>
              <w:rPr>
                <w:rStyle w:val="DefaultParagraphFont"/>
                <w:rFonts w:ascii="Arial" w:eastAsia="Arial" w:hAnsi="Arial" w:cs="Arial"/>
                <w:b/>
                <w:i w:val="0"/>
                <w:color w:val="000000"/>
                <w:sz w:val="16"/>
                <w:u w:val="none"/>
              </w:rPr>
              <w:t xml:space="preserve">Deal Resolution: </w:t>
            </w:r>
            <w:r>
              <w:rPr>
                <w:rStyle w:val="DefaultParagraphFont"/>
                <w:rFonts w:ascii="Arial" w:eastAsia="Arial" w:hAnsi="Arial" w:cs="Arial"/>
                <w:b w:val="0"/>
                <w:i w:val="0"/>
                <w:color w:val="000000"/>
                <w:sz w:val="16"/>
                <w:u w:val="none"/>
              </w:rPr>
              <w:t>-</w:t>
            </w:r>
            <w:r>
              <w:rPr>
                <w:rStyle w:val="DefaultParagraphFont"/>
                <w:rFonts w:ascii="Arial" w:eastAsia="Arial" w:hAnsi="Arial" w:cs="Arial"/>
                <w:b w:val="0"/>
                <w:i w:val="0"/>
                <w:color w:val="000000"/>
                <w:sz w:val="2"/>
                <w:u w:val="none"/>
              </w:rPr>
              <w:br/>
            </w:r>
          </w:p>
        </w:tc>
      </w:tr>
    </w:tbl>
    <w:p w:rsidR="00A77B3E">
      <w:pPr>
        <w:pStyle w:val="Normal6"/>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6"/>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bookmarkStart w:id="37" w:name="bookmark-29End"/>
      <w:r>
        <w:rPr>
          <w:rStyle w:val="DefaultParagraphFont"/>
          <w:rFonts w:ascii="Arial" w:eastAsia="Arial" w:hAnsi="Arial" w:cs="Arial"/>
          <w:b w:val="0"/>
          <w:i w:val="0"/>
          <w:color w:val="FFFFFF"/>
          <w:sz w:val="0"/>
          <w:u w:val="none"/>
        </w:rPr>
        <w:t>Bookmark</w:t>
      </w:r>
      <w:bookmarkEnd w:id="37"/>
    </w:p>
    <w:p w:rsidR="00A77B3E">
      <w:pPr>
        <w:pStyle w:val="Normal7"/>
        <w:keepLines/>
        <w:rPr>
          <w:rStyle w:val="DefaultParagraphFont"/>
        </w:rPr>
      </w:pPr>
      <w:bookmarkStart w:id="38" w:name="bookmark-31"/>
      <w:r>
        <w:rPr>
          <w:rStyle w:val="DefaultParagraphFont"/>
          <w:rFonts w:ascii="Arial" w:eastAsia="Arial" w:hAnsi="Arial" w:cs="Arial"/>
          <w:b w:val="0"/>
          <w:i w:val="0"/>
          <w:color w:val="FFFFFF"/>
          <w:sz w:val="0"/>
          <w:u w:val="none"/>
        </w:rPr>
        <w:t>Bookmark</w:t>
      </w:r>
      <w:bookmarkEnd w:id="38"/>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7"/>
              <w:keepLines/>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7"/>
              <w:keepLines/>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News</w:t>
            </w:r>
          </w:p>
          <w:p w:rsidR="00A77B3E">
            <w:pPr>
              <w:pStyle w:val="Normal7"/>
              <w:keepLines/>
              <w:rPr>
                <w:rStyle w:val="DefaultParagraphFont"/>
                <w:rFonts w:ascii="Arial" w:eastAsia="Arial" w:hAnsi="Arial" w:cs="Arial"/>
                <w:b/>
                <w:i w:val="0"/>
                <w:color w:val="FFFFFF"/>
                <w:sz w:val="16"/>
                <w:u w:val="none"/>
              </w:rPr>
            </w:pPr>
          </w:p>
        </w:tc>
      </w:tr>
    </w:tbl>
    <w:p w:rsidR="00A77B3E">
      <w:pPr>
        <w:pStyle w:val="Normal7"/>
        <w:keepLines/>
        <w:rPr>
          <w:rStyle w:val="DefaultParagraphFont"/>
          <w:rFonts w:ascii="Arial" w:eastAsia="Arial" w:hAnsi="Arial" w:cs="Arial"/>
          <w:b w:val="0"/>
          <w:i w:val="0"/>
          <w:color w:val="000000"/>
          <w:sz w:val="16"/>
          <w:u w:val="none"/>
        </w:rPr>
        <w:sectPr>
          <w:headerReference w:type="default" r:id="rId14"/>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200"/>
        </w:trPr>
        <w:tc>
          <w:tcPr>
            <w:tcW w:w="5000" w:type="pct"/>
            <w:shd w:val="clear" w:color="auto" w:fill="FFFFFF"/>
            <w:tcMar>
              <w:top w:w="20" w:type="dxa"/>
              <w:left w:w="40" w:type="dxa"/>
              <w:bottom w:w="30" w:type="dxa"/>
              <w:right w:w="40" w:type="dxa"/>
            </w:tcMar>
            <w:vAlign w:val="center"/>
          </w:tcPr>
          <w:p w:rsidR="00A77B3E">
            <w:pPr>
              <w:pStyle w:val="Normal7"/>
              <w:keepLines/>
              <w:rPr>
                <w:rStyle w:val="DefaultParagraphFont"/>
                <w:rFonts w:ascii="Arial" w:eastAsia="Arial" w:hAnsi="Arial" w:cs="Arial"/>
                <w:b/>
                <w:i w:val="0"/>
                <w:color w:val="FFFFFF"/>
                <w:sz w:val="20"/>
                <w:u w:val="none"/>
              </w:rPr>
            </w:pPr>
          </w:p>
          <w:p w:rsidR="00A77B3E">
            <w:pPr>
              <w:pStyle w:val="Normal7"/>
              <w:keepLines/>
              <w:rPr>
                <w:rStyle w:val="DefaultParagraphFont"/>
                <w:rFonts w:ascii="Arial" w:eastAsia="Arial" w:hAnsi="Arial" w:cs="Arial"/>
                <w:b/>
                <w:i w:val="0"/>
                <w:color w:val="FFFFFF"/>
                <w:sz w:val="20"/>
                <w:u w:val="none"/>
              </w:rPr>
            </w:pPr>
          </w:p>
        </w:tc>
      </w:tr>
    </w:tbl>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rPr>
                <w:rStyle w:val="DefaultParagraphFont"/>
                <w:rFonts w:ascii="Arial" w:eastAsia="Arial" w:hAnsi="Arial" w:cs="Arial"/>
                <w:b/>
                <w:i w:val="0"/>
                <w:color w:val="FFFFFF"/>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rPr>
                <w:rStyle w:val="DefaultParagraphFont"/>
                <w:rFonts w:ascii="Arial" w:eastAsia="Arial" w:hAnsi="Arial" w:cs="Arial"/>
                <w:b/>
                <w:i w:val="0"/>
                <w:color w:val="FFFFFF"/>
                <w:sz w:val="16"/>
                <w:u w:val="none"/>
              </w:rPr>
            </w:pPr>
            <w:r>
              <w:rPr>
                <w:rStyle w:val="DefaultParagraphFont"/>
                <w:rFonts w:ascii="Arial" w:eastAsia="Arial" w:hAnsi="Arial" w:cs="Arial"/>
                <w:b/>
                <w:i w:val="0"/>
                <w:color w:val="000000"/>
                <w:sz w:val="16"/>
                <w:u w:val="single"/>
              </w:rPr>
              <w:t>FDIC plans to reduce large-bank assessments; NCUA allows interchange fees</w:t>
            </w:r>
          </w:p>
          <w:p w:rsidR="00A77B3E">
            <w:pPr>
              <w:pStyle w:val="Normal7"/>
              <w:keepLines/>
              <w:rPr>
                <w:rStyle w:val="DefaultParagraphFont"/>
                <w:rFonts w:ascii="Arial" w:eastAsia="Arial" w:hAnsi="Arial" w:cs="Arial"/>
                <w:b/>
                <w:i w:val="0"/>
                <w:color w:val="000000"/>
                <w:sz w:val="16"/>
                <w:u w:val="single"/>
              </w:rPr>
            </w:pPr>
          </w:p>
        </w:tc>
      </w:tr>
    </w:tbl>
    <w:p w:rsidR="00A77B3E">
      <w:pPr>
        <w:pStyle w:val="Normal7"/>
        <w:keepLines/>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rPr>
                <w:rStyle w:val="DefaultParagraphFont"/>
                <w:rFonts w:ascii="Arial" w:eastAsia="Arial" w:hAnsi="Arial" w:cs="Arial"/>
                <w:b/>
                <w:i w:val="0"/>
                <w:color w:val="000000"/>
                <w:sz w:val="18"/>
                <w:u w:val="single"/>
              </w:rPr>
            </w:pPr>
          </w:p>
          <w:p w:rsidR="00A77B3E">
            <w:pPr>
              <w:pStyle w:val="Normal7"/>
              <w:keepLines/>
              <w:rPr>
                <w:rStyle w:val="DefaultParagraphFont"/>
                <w:rFonts w:ascii="Arial" w:eastAsia="Arial" w:hAnsi="Arial" w:cs="Arial"/>
                <w:b/>
                <w:i w:val="0"/>
                <w:color w:val="000000"/>
                <w:sz w:val="18"/>
                <w:u w:val="single"/>
              </w:rPr>
            </w:pPr>
          </w:p>
        </w:tc>
      </w:tr>
    </w:tbl>
    <w:p w:rsidR="00A77B3E">
      <w:pPr>
        <w:pStyle w:val="Normal7"/>
        <w:keepLines/>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Jun-12-2026 12:56 PM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Washington Wrap is a weekly recap of financial regulation, news and chatter from around the capital.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At federal regulators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Federal Deposit Insurance Corp. is considering a "resolution readiness adjustment" that would reduce large banks' deposit-insurance assessments if they can quickly provide data access in a failure.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FDIC Chair Travis Hill said in a June 9 speech that the agency is preparing a broad overhaul of its bank-resolution framework, including slimmer resolution-planning rules, lower deposit-insurance assessments, reduced recordkeeping burdens and new incentives for large banks that can give regulators faster access to critical failure-related data.</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 central part of the proposal would be the new adjustment to the deposit-insurance assessment framework, Hill said. Large banks subject to the FDIC's large-bank scorecard could qualify for lower quarterly assessments if they show they can rapidly populate a virtual data room or give the FDIC temporary access to internal systems or third-party service providers.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Hill raised the possibility of a legislative change to the FDIC's least-cost test, which generally requires the agency to choose the resolution option that costs the deposit insurance fund the least.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_________________</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National Credit Union Administration (NCUA) has adopted an interim final rule clarifying that federal credit unions can assess, collect, impose, levy, receive, reserve, take or otherwise obtain non-interest charges and fees, specifically including interchange fees from credit and debit card operations.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rule also states that the institutions may charge the non-interest fees even when the fees are set by, or in consultation with, third parties. The regulator said the purpose is to clarify and consolidate its federal preemption rules, so that state laws limiting such fees — particularly the Illinois Interchange Fee Prohibition Act — are preempted.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rule is effective June 30. The regulator invited public comment, which is due July 9.</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_________________</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Total assets in federally insured credit unions rose by $117 billion, or 4.9%, to $2.48 trillion over the year ended in the first quarter, while total loans outstanding rose by $76 billion, or 4.6%, to $1.73 trillion, according to the NCUA's credit union system performance data report released June 9.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Federally insured credit unions added 2.5 million members; with membership reaching 145.8 million in the first quarter, the report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_________________</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Office of the Comptroller of the Currency plans to use its "voluntary transition program" to provide buyouts as part of upcoming staffing changes, Bloomberg Law reported, citing an internal email seen by the news outlet.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_________________</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 trade groups are urging the FDIC to define how tokenized deposits are treated in its GENIUS Act stablecoin framework, saying deposit insurance should depend on the legal nature of the deposit, not the underlying technology used to record it.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Bank Policy Institute, The Clearing House and the Consumer Bankers Association said the FDIC should maintain that deposit insurance hinges on the legal characteristics of the deposit, pointing to the FDIC's description of tokenized deposits as deposit liabilities kept using distributed ledger systems.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National Community Reinvestment Coalition expressed concerns around deposit flight, arguing that if stablecoins function as cash substitutes, large balances could move from traditional banks into stablecoin systems with fewer public safeguards, potentially reducing low-cost bank funding and pressuring lending, particularly for smaller institutions.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Federal regulators closed the comment period for the FDIC's proposed GENIUS Act stablecoin framework on June 9.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_________________</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President Donald Trump nominated Brian Johnson to be Consumer Financial Protection Bureau director for five years, according to a June 10 White House notice.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On Capitol Hill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Senate's Small Business Committee Chair wants the Small Business Administration to review lenders recently removed from a USDA lending program.</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Senate Small Business and Entrepreneurship Committee Chair Sen. Joni Ernst (R-Iowa) called for the SBA to review the removed lenders' SBA 7(a) loan portfolios in a letter to Administrator Kelly Loeffler on June 4. Ernst urged the SBA to mirror the USDA in auditing the lenders, which had their licenses revoked and barred future participation in the program with 30 days to appeal.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Ernst called the USDA's decision to revoke the lenders' approved status a response to the failure of Community Bank &amp; Trust - West Georgia. She also criticized a Biden-era policy that removed upfront fees on 7(a) programs under $1 million, claiming it led to deteriorating default rates. The policy has since been dissolved.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Lenders in the requested review are North Avenue Capital LLC, Greater Nevada CU, BOM Bank, U.S. Eagle FCU, Genisys CU, Celtic Bank Corp., ReadyCap Commercial LLC, Byline Bancorp Inc. and Optus Bank.</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Byline Bank, the only publicly traded company on the list, held $443.2 million in SBA 7(a) loans at the end of the first quarter, totaling 5.9% of its gross loan portfolio. The USDA loans accounted for 0.6% of its portfolio.</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_________________</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Rep. Maxine Waters (D-Calif.), the senior Democrat on the House Financial Services Committee, sent a letter to the CEOs of big banks JPMorgan Chase &amp; Co., Citigroup Inc., Bank of America Corp., Wells Fargo &amp; Co., Morgan Stanley and Goldman Sachs Group Inc., demanding an immediate briefing on how they are addressing cybersecurity vulnerabilities identified by an advanced AI system.</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Waters cited Anthropic's Claude Mythos, a highly autonomous AI model that has identified thousands of severe vulnerabilities in major software.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M&amp;A talks abound as AI intensifies competition across sectors</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Jun-12-2026 08:29 AM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Growth in AI is catalyzing M&amp;A discussions, prompting companies to scale their operations, investment banking executives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Disruption from AI has yielded more strategic conversations from clients looking to position themselves better to compete in the modern environment, and companies' desire to scale up is driving M&amp;A volumes for investment banks Moelis &amp; Co., Evercore Inc. and Lazard Inc., executives said during industry conference presentations.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Most of Moelis' meetings with clients involve discussing how to strategize around AI, CEO Navid Mahmoodzadegan said during a June 10 presentation.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"It's in every conversation, every meeting we're having with clients," Mahmoodzadegan said. "'How is AI going to disrupt the specific industry? How should we, as a company, best position ourselves to take advantage of that? How does M&amp;A play into that?'"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Driving scale is usually the strategy that comes out on top, Mahmoodzadegan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As more firms integrate AI into their businesses, those at the cutting edge of innovation tend to pull away from later adopters, Lazard Chairman and CEO Peter Orszag during his June 10 presentation. That divide will continue to grow as AI tools develop, which will keep driving M&amp;A ambition, he added.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"There's a lot of opportunities, both deals where companies are trying to gain in scale or trying to expand their reach, as well as companies that are looking at other adjacencies that could be involving AI," Evercore Chairman and CEO John Weinberg said in a June 9 presentation. "It's really yielded quite a bit of activity and dialogue, and I think that that will continue."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Deal talk spans sectors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proliferation of AI has also dampened investment banking activity involving software companies, as the market weighs the long-term value of certain sectors that AI could disrupt, Weinberg, Orszag and Mahmoodzadegan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Weinberg said software has already seen some improvement in activity since its low point, and M&amp;A discussions are strong across the board otherwise.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Industries including healthcare, industrials, energy and power and infrastructure are experiencing strong M&amp;A activity, Weinberg said. Orszag added that financials and other areas of tech to that list. "It's pretty much across the board," Orszag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Discussions of dealmaking are now more ambitious than they were at this point last year, with scale more relevant now than a year ago because the regulatory window is open for large transactions to be approved, Orszag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"There's an optimism that deals can get done," Weinberg said. "There is a real strength in the large-deal part of the market."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Orszag also noted that time is limited on the currently friendly regulatory environment.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second quarter of 2025 was record-breaking for Evercore, and this year's second quarter is getting close to matching that activity, Weinberg said. He reported close to record levels of investment banking backlog and a quick replenishment of that backlog once deals are announced.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 of America Corp. also reported strong M&amp;A activity during co-President James DeMare's June 9 industry conference presentation.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Clients' M&amp;A dialogues are persisting through geopolitical uncertainty surrounding the war in the Middle East, DeMare said. He is optimistic about the pipeline but added that a resolution to the Middle Eastern conflict would help clients determine timelines for transaction execution.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FIFA World Cup 2026: Global media rights, ads vs. sponsors, and streaming wars</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Jun-12-2026 08:26 AM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"MediaTalk" is a podcast hosted by S&amp;P Global Market Intelligence in which the news and research staff take a deep dive into issues facing the evolving media landscape. The weekly podcast includes conversations with internal thought leaders alongside interviews with industry insiders and analysts.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Subscribe on Apple Podcasts and Spotify or watch on YouTube.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"MediaTalk" host Mike Reynolds and S&amp;P Global Kagan analysts unpack what's driving the business of the Fédération Internationale De Football Association 2026 Men's World Cup — far beyond matches on the pitch. The episode explores how broadcast and streaming rights are shaping FIFA's revenue, including the scale of global coverage and multimarket deals. From Fox Corp. and Telemundo Communications Group Inc. in the US to major commitments in China and India, the discussion highlights how media rights are evolving toward multiplatform distribution.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episode also breaks down how advertisers and sponsors are positioning around the tournament's expanded footprint — covering sponsorship tiers, premium advertising inventory and why brand exposure is becoming more tightly managed. Finally, we look at streaming competition and what it could mean for future rights cycles, with global platforms likely to play a larger role.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episode answers: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How does consumption vary across global markets when it comes to watching games on the big screen versus mobile?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How will concerns about ticket pricing and transportation impact this year's tournament?</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Featured experts: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Michael Johnson, research analyst at S&amp;P Global Market Intelligence Kagan.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Bruno do Amaral, research analyst at S&amp;P Global Market Intelligence Kagan.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Ariel Thomas Rodriguez, senior research analyst at S&amp;P Global Market Intelligence Kagan.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Richard Berndes, associate media analyst at S&amp;P Global Market Intelligence Kagan.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Explore our full library of S&amp;P Global Market Intelligence podcasts.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RELATED CONTENT: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FIFA World Cup 2026: Who’s watching around the world?</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FIFA World Cup 2026 the unprecedented ticketing and sponsorship event</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This transcript may be AI-assisted and is reviewed, edited and approved by a human at S&amp;P Global.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Mike Reynolds: Hi, I'm Mike Reynolds, a senior reporter covering the media industry with the S&amp;P Global Market Intelligence tech, media and telecom news team. Welcome to "MediaTalk," a podcast hosted by S&amp;P Global Market Intelligence, wherein the news and research staff explore issues in the ever-evolving media landscape. This time, we are going to talk about the sporting event of the summer, the 2026 FIFA Men's World Cup. This year, the tournament is taking place in the US, Mexico and Canada. Sixteen stadiums across the three nations will be in play.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For the first time, the expanded event encompasses a field of 48 nations divided into 12 groups of four. There will be 104 matches in total, up from 32 countries and 64 games from Qatar in 2022. After group play yields its 32 advancing sides — the top two from each group, plus the eight best third-place finishers — the tournament hits the knockout stage.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That will culminate with the final in East Rutherford, New Jersey, on July 19. Action on the pitch aside, there is no shortage of commercial interest around the globe for FIFA's big event. That extends to media rights, sponsorships and ticket sales, as well as to viewership across platforms and the technologies that are going to bring the matches into our homes.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To provide a sense of some of the business around this year's events, we've assembled a team of Kagan analysts in our virtual locker room. Mike Johnson is in upstate New York, Bruno Amaral is in Brazil, Ariel Thomas Rodriguez is in Mexico City, while Richard Berndes is in our London office.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Thanks, everybody, for joining us. We're going to start with Kagan analyst Mike Johnson, who's on the Sports Watch here in the US. How we doing, Mike? A soccer fan, a World Cup fan?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Michael Johnson: Yeah. Hey, Mike. Thanks for having me on. Yeah, to be honest, I'd probably call myself a casual fan of international soccer. I might not follow every league closely, but when the World Cup rolls around, I definitely tune in, enjoy the big moments, and yeah, it'll be a great time to watch here in the US.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Okay. All right. Mike's going to set the table for us a little bit. Give us a sense, Mike, about media rights, which I assume is the main revenue stream for FIFA.</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Johnson: Yeah, exactly. For everyone that can't afford to go to the matches, it's all about the broadcast rights and how you can watch on whatever device you choose.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FIFA's making history this year, pulling in nearly $4 billion from selling the rights to air the tournament. And that's a billion more than the last World Cup in Qatar — especially with this tournament expanding to 48 teams.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Broadcast rights actually make up about 30% of FIFA's total revenue for this four-year cycle. And that money helps fund global soccer development and operations. So it's a big deal. And when you talk about global reach, it's pretty wild. It's about 200 countries getting coverage, and in some places, there are multiple deals.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Here in the US, we've got Fox for English and Telemundo for Spanish, so the matches are accessible to a huge audience. And you know, it's not just the US. Recently, FIFA struck critical last-minute deals in China and India, locking in agreements that will connect billions of viewers in those markets.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 China, the China Media Group secured exclusive rights for both men's and women's World Cups through 2031. A deal was finalized less than a month before the tournament here, and it reportedly costs $60 million for 2026. And then, in India, Zee Entertainment Enterprises Ltd. will broadcast and stream 39 events through 2034, including the World Cups and other tournaments and things like that.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And then, just to go even further, advertisers are loving it, too. Fox is charging a premium — up to $50 million, I've read — for their sponsorship packages, and Telemundo isn't far behind. And the timing of this World Cup is pretty perfect.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Everything's kind of lining up. In the US, summer months — great time zones for live viewing — adding in the hydration breaks for this tournament. And then the US, as hosts. So, all ad spending is, I think it was up over 330% compared to 2022, so just a dramatic increase.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As you mentioned, Mike, Fox and Telemundo — English and Spanish language — are rights holders, respectively. What do their deals look like?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Johnson: So here in the US, coverage is going to be massive. Fox Sports has the exclusive English-language rights, which means every single match — all 104 of them — will be broadcast across Fox, FS1, and their streaming platform, Fox One.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Telemundo has the Spanish-language rights with over 700 hours of coverage. I think it's the most comprehensive Spanish-language broadcast ever. Plus, you have Peacock streaming all of those Spanish-language matches as well, so you can watch wherever you are.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And you know what's really cool is that Fox is putting a record— I think it's 40 matches — in prime time throughout the tournament. Making it super easy for fans to tune in after work or school, or however they're watching. And all the knockout games, including the final, will be on Fox, so you won't miss out on any of the huge moments throughout the tournament.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It sounds like viewership should be pretty strong.</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Johnson: Yeah. So when it comes to viewership, the numbers will be really strong, like you mentioned. If we look back to 2022, I think Fox averaged just over 3.5 million viewers per match. The Argentina–France final, I think it pulled in nearly 17 million, which was a record. So even when the US Men's National Team exited — and I think it was the round of 16, or whatever — almost 13 million fans tuned into that.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So there's definitely a big appetite to watch these games throughout the World Cup.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Yeah, no doubt. I think that during Fox's Upfront — Michael Strahan, the American football commentator — he talked about, they expect the three US group stage matches to draw about 15 million viewers a piece. Should the team go further, those numbers are only going to go up, and I think he was talking about 150 million people tuning in to the tournament over its course. So it's, it's Super Bowl-like.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Johnson: Yeah, exactly. And globally, it's even — Oh, yeah ... bigger, obviously. The 2022 final, I think, it hit 1.5 billion viewers, and that was up from 1.1 billion in 2018.</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And, I think for this tournament, FIFA's projecting 6 billion global engagements when you include TV, streaming, social media — that's a huge leap. And it's partly thanks to younger viewers who are watching more on streaming platforms than ever before.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I gotcha. That's the tournament coming up. The rights for the 2030 tournament, which will be held in Morocco, Spain and Portugal — they are up for grabs in the US. Any sense, Mike, for what's going to happen then?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Johnson: Yeah, that's right. This will be probably a major talking point, as the World Cup concludes in mid-July. After this summer's World Cup, Fox's deal is up, and next cycle — like you mentioned — starting with 2030 will be huge.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We're not just talking about the traditional broadcasters anymore. We'll have the streamers involved: Apple, Amazon.com Inc., especially Netflix Inc. are all in the mix. Netflix has already made a pretty big splash by picking up the rights to the 2027 and 2031 Women's World Cups. And I think they made it clear that they're interested in the men’s tournament, too, going forward.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Access 2026 World Cup media partners and streaming availability data in Excel.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So, yeah — the next rights deals are expected to be a lot more expensive, and it'll almost certainly include more streaming and multiplatform options. Netflix, for example, could look for even more global rights, not just US exclusivity, since soccer is such a worldwide game.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Sure, absolutely. All right, Mike, last question for you. How will the US men's team fare?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Johnson: Yeah, that's a good question. They're probably not the favorites to win it all. I'm hoping the team surprises with a relatively deep tournament run. You have the usual favorites: Brazil, France, Argentina.</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They're always stacked with talent and experience. France, in particular, is my pick to win it all. It seems like they have a pretty good mix of youth and experience, and Mbappé is in his prime. So I'm going with France, hoping the US can pull off a deep run here.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All right. Me as well.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Okay, next up, we have Bruno Amaral. Bruno is a research analyst covering Latin American mobile market within the TMT channel. His coverage includes carriers, vendors, tower companies and technologies, as well as subscriber trends and forecasts. Bruno, how are things in Brazil?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Bruno Amaral: Hello, Mike. We're heading into winter here, so it's all good. I'm just chilling and waiting for the World Cup.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All right. So, again, soccer is religion in Brazil. How is the team going to do? I think they're ranked sixth by FIFA, which is maybe a little bit low for where they usually stand.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Yeah. Seems like we'll do fine for the first few matches. We're going against Morocco, Haiti, and Scotland.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Okay.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We have a pretty good chance to advance, but I'm not sure if we are material enough to win the tournament. But it's been 24 years since we've won the last World Cup, so here's hope.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Okay. Bruno is going to tell us now what's going on about the new technology down in Brazil that I guess the World Cup is a coming-out party for it.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Yeah. It's the new TV standard called ATSC 3.0, and we have the tradition of launch new TV technologies at some World Cups. In 1970, we had color TV. Really? Okay. And, yeah, in 2006, we had HDTV. So now we are having TV 3.0.</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Okay. And the standard of 3.0, Bruno — can you just give us a layman's sense for what that does? Again, as a viewer, it makes my experience better how?</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Yeah. This new generation is capable of 4K resolution, or even up to 8K. High dynamic range (HDR) colors, surround sound, and Dolby Atmos. And it also has interactivity. So, when combined with a broadband connection, you can use it to rewind the live feed, you can have e-commerce. But it's not mandatory. Just for, if you have just the TV, you have the 4K experience.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The new standard. Is it widely adopted yet, or is it a check out the World Cup because this is what you can have if you do the 3.0 thing?</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Yeah. That's the problem because the launch will take place in the first match on June 11, but the hardware ecosystem is not available yet.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We have set-top boxes in presale. But the first one that appeared in e-commerce is about $140, which is a bit expensive for low-income Brazilians. New TVs are being promised. Hisense Co. Ltd., LG Corp., TCL, Samsung Electronics Co. Ltd. They are working on compatible TVs, but we don't have anything out yet.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I got you. Are the sets equipped with the capabilities? Is that a 2027 thing, or is it even later, 2028 perhaps?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From 2027, I think things will be more available.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Okay. So, the soccer matches aside, is there other content? Have production companies stepped up and said, "Yes, our upcoming drama series, our films, they're going to be available and will be better served by being in the 3.0 format"? So, is there other content underway?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Sure. One of the biggest TV channels in Brazil is Globo. Yep. Globo TV already has 4K HDR content on its over-the-top platform, and they will also offer it in the broadcast version. But sure — this is for live TV special occasions like the World Cup or even live concerts. They'll promise 4K video quality, and the latency would be better than over-the-top services.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Okay. Will you be able to check out any of the matches in the new technology with the tournament coming 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I am actually looking for a new TV, but I'm not sure. I don't want to buy a new TV without it being compatible with the new standard. But I'm mostly okay because as far as the World Cup, we will have it for free on YouTube in 4K, and we will have it on Globo in HDTV. So it would be nice to have, but I don't need it.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All right. Bruno, thank you so much, and we hope that Brazil does well.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Amaral: Thank you. Me, too.</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Next up, we have Ariel Thomas Rodriguez. He's a senior research analyst who assesses the Latin America region's fixed broadband, pay TV and over-the-top platform segments. How are things, Ariel, in Mexico City?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Ariel Rodriguez: Hello, Mike. It's all good so far. We'll have to wait and see how this turns out. There's a lot of expectations, and sadly, I did not manage to get any tickets.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Yeah, I know that right there — I guess it's been renamed as all the stadiums have — Estadio Azteca is home to five of Mexico's 13 matches. Maybe you'll be lucky, and one will fall into your lap somehow.</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Anyway, I just wanted to see what you think about El Tri's chances. Are they going to advance from their group? I think they're in Group A: you have the opening match against South America on the 11th, and Czechia and the Republic of Korea are also in that group.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Rodriguez: You know what, Mike? Here in Mexico, we say we have a curse when it comes to the World Cup, and the national soccer team's history in the FIFA World Cup is marked by a consistent inability to advance beyond the group stage. But we'll see if, if luck is in our field this year — and who knows — maybe being a host city, a host country, will benefit our luck.</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From your mouth to the soccer gods' ears — let's see what happens. Anyway, Ariel is going to give us a sense for connectivity in Latin America and what that means for the World Cup. Can you give us a sense, sir, of how many households in Latin America will be connected to this World Cup?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Rodriguez: Absolutely. Residential fixed broadband is expected to take a strong lead in Latin America and the Caribbean's viewership of the FIFA World Cup this year. After the region hit a historic record of 59% penetration this year. We estimate that the Latin America and Caribbean region — which includes 21 countries or markets under our radar — reached 125.7 million residential fixed broadband subscriptions in 2026.</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That's an increase of 21% from what we registered in the World Cup of 2022, about 104.1 million subscriptions. And this is in part because Latin America has experienced a boom in fiber deployment. In fact, fiber optic has become the leading technology for bringing broadband to homes in Latin America. And it's so big that we expect residential households to reach 136.9 million subscriptions in 2030, meaning for the next FIFA World Cup.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Okay. All right. So things have really jumped up there in the last few years, and more to come. Ariel, what about on the mobile side? How is the area outfitted with 4G and 5G?</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Rodriguez: For mobile connectivity, we have a different scenario from other regions. Although mobile devices remain the main platform for internet access in Latin America and the Caribbean, with more than 677.5 million subscriptions and a penetration of 126 at the end of 2024 alone, there are only a few markets in the region in which 5G has taken off, and data plans under the 4G coverage are often limited.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Here in the region, for example, in the United States — and correct me if I'm wrong — consumers have the option of choosing unlimited data plans. And that's probably good if you want to stream a soccer match basically anywhere. Whereas here, people prefer to save up their data plans for social media usage and stream at home.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Really? You don't anticipate that a lot of people will be watching the matches on their phones?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Rodriguez: It will be unrealistic, given our scenario. Our 4G coverage is solid. We have a lot of penetration, but 5G is not the best at this moment. And like I said, people here in Latin America prefer to stream at home and save up their data plans for social media. Although I see that the World Cup strategy for this year involves a lot of social media coverage, for example, with a partnership with TikTok Inc. That will not be the case for watching an entire soccer match on your phone.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Yeah, you're not going to get all 90 minutes plus that way, for sure.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Rodriguez: You're going to get a delay on the first goalie or something, and that's not going to be nice.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I gotcha. All right. What about in traditional pay TV? Ariel, are trends akin to the US, where the traditional ecosystem continues to wither?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Rodriguez: See, sadly, here is the same. Pay TV in Latin America continues to keep losing terrain to streaming platforms, and we just have to take a look at penetration, or how penetration has performed over the last two World Cups. In 2018, Latin America's and the Caribbean's pay TV penetration was 40%. That was the same percentage for fixed broadband back then. But in 2022, during the World Cup, pay TV penetration dropped to 35%. And nowadays, in 2026, it stands at an estimated 29%. So it keeps on losing terrain. We keep on losing a lot of subscriptions. It's not a very optimistic scenario for pay TV, to be honest.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I gotcha. So you're thinking that people are going to be watching these matches via streaming?</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Rodriguez: Of course, because we have the households with fast-speed internet, thanks to fiber to the home, right? So streaming is booming in Latin America.</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Unfortunately, we do not have a lot of data on the platforms and how many subscribers they have on Latin America yet because they are not disclosing a lot of numbers on paid subscribers. Only a few players, for example, Netflix, which is the leading OTT in Latin America and the Caribbean, and Walt Disney Co.'s Disney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We do have new and original OTTs that have surged in Latin America, such as ViX, which surged after the Grupo Televisa SAB and Univision Communications Inc. fusion a couple years ago. And they're actually buying a lot of rights for sports events, including the World Cup.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But just to give you an example of how big streaming is in Latin America, let me give you this context: Brazil and Mexico were ranked number two and number six, respectively, in Netflix's top paid subscription markets at the end of 2025 — after the United States, and above countries such as Japan, India, etc. So, Latin America is a big streamer. They do love OTTs, and it's a market where there's a lot of opportunities for platforms to exploit the content here.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All right. One last thing here. I think you told me that extra spectrum is going into Mexico for the World Cup. What is that going to mean for the consumers and fans down there, Ariel?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Rodriguez: Of course. So we do have the inaugural performance or match here in Mexico City. And remember how I said 5G hasn't taken off quite yet in Latin America? Well, what happens when you expect about 6 million international visitors during June and July? And they have devices that work with 5G and are used to that type of speed and coverage.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They did something very interesting here. We found out at the end of May that the head of Mexico's telecommunications regulator, the CRT, created a mechanism to assign temporary spectrum licenses to operators at a discount, which has never happened. They've been very tough on the operators in exchange for coverage commitments at the World Cup.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And this is aimed at reducing congestion, of course, but also increasing speed and providing consumers with better service. Some of these frequencies are actually 5G-friendly, and the licenses will extend from June 11 to July to companies that already operate mobile spectrum licenses here in Mexico.</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Wow, very interesting. All right, Ariel, thank you for your insights in LatAm and in Mexico. Appreciate it.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Next up, and maybe mixing my sports metaphors here — batting cleanup, or if he prefers attacking midfielder — is Richard Berndes. Richard is an associate media analyst in the Kagan Media Research Group, covering broadcast, TV networks, sports and e-sports sectors in Western Europe. Richard's in London, as I mentioned. He's a Tottenham Hotspur Ltd. season ticket holder. I'm sure you've had some mixed feelings at your squad about the tough 25–26 season, Richard.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Richard Berndes: Yeah. Hi, Mike. Yeah, it's been a tough season being a Tottenham Hotspur fan, especially as our archrivals Arsenal won the Premier League title. But we have a new coach, and I'm confident we'll learn the lessons of last season, and I've renewed my season ticket, so I'm confident about the next season coming 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All right. Richard, what about England? Are the Three Lions ready to make a deep World Cup run?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England have had a strong squad for the last few years. But I'd say arguably this is probably the strongest it's ever been. We got players like Harry Kane, Jude Bellingham, Declan Rice and Bukayo Saka, so we're strong across the pitch. Will they win it? I really hope so, but they need a bit of luck. But they should certainly get to the later stages — quarterfinals, semifinals. But I feel there's probably a couple of teams stronger than England.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All right. Earlier, Mike gave us a great overview of media rights around the world ... in the US, India, and China. Richard, what's the coverage in the UK and in some of the other big European countries?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Valuations in Europe are restricted by free-to-air obligations for the national team games, which are deemed culturally significant events, so they have to be shown free to air.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As such, there's an established trend of long-standing terrestrial broadcasters holding the rights for all the matches — or certainly the key games. So their broadcasts could be free to air on commercial channels. So, for example, in the UK, the tournament is going to be shown by the BBC and the commercial broadcaster ITV PLC.</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 France, it'll be M6 and TF1. But the France games will also be shown on beIN Media Group's Bein Sports, which will cover all the games.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Another example would be in Germany — the main broadcasters, ARD and ZDF, will have all the key games and the Germany games, but MagentaTV, a pay TV operator, will have all the games.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So we are seeing the pay TVs coming into Europe to cover all the games. But certainly, the big domestic games and most of the games will be free to air in Europe.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Media rights. It's the top of FIFA's revenue chain. Sponsorship is also key. Richard, can you give us a sense of some of the top brands that are involved with football's governing body?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Yeah. We're certainly estimating that FIFA will be looking to drive its highest-ever commercial revenue from sponsorship with this tournament, and it's certainly what we'd expect to be the most commercially aggressive on record. We're estimating probably around $1.6 billion to $1.7 billion purely on marketing rights from FIFA. And the way FIFA is driving that is they're looking to expand the expansion of the tournament, which has obviously gone to 104 games from 64 games in the previous thing. So there's a lot of airtime and ability, which they're selling to their clients. And also, the location in North America, and especially the US, is arguably the biggest economy and the most important in the world.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But in terms of their strategy, they've got a three-tier sponsorship partnerships. Tier one — the top brands — they have a full year, four-cycle. And there are people like Adidas AG, The Coca-Cola Co., Visa Inc., Lenovo Group Ltd. and Qatar Airways Ltd., to name a few.</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And these are worldwide, right?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Yeah. You'll see these brands across all the stadiums. These are the top-tier brands — brands like Adidas and Coca-Cola and Visa have been associated with the World Cup for a long time. Level two — there are brands that have gotten global rights specifically for this tournament. There, you'll be seeing sort of Budweiser, McDonald's, Bank of America Corp., people like that.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And then you have a level three, which is a lower level — probably offering operational and logistical support — and that would be people like Airbnb Inc., The Home Depot Inc. and American Airlines Group Inc.</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I gotcha. And we will be seeing various commercials here in the States from these and other brands as the tournament comes upon us.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Richard, there's been a bit of consternation here in the US about what to call stadiums. Gillette Stadium up in Foxborough, Mass., where the National Football League Inc.'s New England Patriots play, is being called Boston Stadium for the World Cup. Similarly, MetLife Stadium, which is home to the NFL's New York Giants and New York Jets, is now billed as New York–New Jersey Stadium. Is this what FIFA does around the world, or is this a new practice?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This is the first time they've been so proactive in doing things like this. FIFA is fiercely protective of their branding, and they ensure that only the official sponsors and themselves extract maximum value out of the association. Therefore, what they'll be trying to ensure is the brands — not paying FIFA a sponsorship fee — don't get any exposure around the tournament. So the stadiums have all been renamed to reflect their location, as you just said, Mike. Now it'll be interesting to see how this plays out on the ground because obviously these stadiums are known, as these well-known names that you just mentioned, like Lumen Field, Gillette Stadium, AT&amp;T Stadium.</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So it'll be interesting to see how that plays out on the ground and how the fans refer to them. And there could even be a potential slip-up by some of the commentators, because these names are quite well-established. But as I said, the reason it's happened is FIFA's really strict, and they extract the maximum amount of value out of their sponsors.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Yeah, it's interesting. I think that's a really good point that, yes, the Cowboys have been playing at AT&amp;T Stadium for as long as it's been open. What are you going to call it? I think familiarity.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Anyway, how about Richard on the ticket side? Much has been written about how expensive many of the tickets are here in the US. There's been a bit of controversy. I think the New York and New Jersey attorneys general recently subpoenaed FIFA about ticket prices, inventory leases and resale. What do you make of the ticketing situation?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As a fan, it seems to be very confusing and a bit of a mess. But again, this is FIFA — looking to maximize their earning potential in World Cup years.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tickets themselves are expected to be priced at very high levels than previous World Cups, and that's also given the location of the event. There's been four opportunities to buy tickets, but price and efforts have fluctuated as fans have gained access to the site and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That's a nice word: fluctuate.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Yeah. And they spent hours in these digital queues. And FIFA has used a dynamic pricing system to match supply and demand. And there's also the opportunity to resell unwanted tickets, but only via FIFA's official marketplace facility.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As you touched on, there's been a lot of controversy in the US about how this has been played out, and there's been complaints to the attorneys general of New York. It does seem a bit of a mess, but this is a marquee world event, and these are high ticket prices, and the public wants to see these events. You have to overlay on that the traveling expense. If you're traveling from, say, New York to Mexico to Canada to California, you're traveling across two or three continents. If, say, for example, the tournament was in say, a European country like Italy, it's very easy to get a train, so there's that added expense for fans as well.</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Sure. All right. Getting to the end here, Richard. Tell us about video games in the World Cup. Soccer's always been a popular video game property.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Absolutely. FIFA has always been associated with the EA games — FIFA 23, 22, etc. But that association with Electronic Arts Inc. doesn't exist anymore because FIFA and EA fell out over revenue. FIFA wanted a massive uplift in revenue, so EA have gone their own way. And they're now called EA Sports FC. And they moved away from the FIFA brand. However, there was a lot of discussion FIFA would be launching their own game made by Delphi Interactive, and it was going to be produced in association with Netflix. And there is a new game called FIFA Heroes, which FIFA has put out.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Richard, we heard what you feel about England's chances. Given your football fandom and knowledge, who are maybe a couple of nations that are going to break through in this tournament?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I think the side for me that really potentially could go quite deep is Norway, and they pose a threat. It's really down to a couple of players, most notably their striker, Erling Haaland, who's arguably the greatest striker in world football at the moment. But they've also got Club Atlético de Madrid S.A.D.'s Alexander Sørloth, Crystal Palace’s Jørgen Strand Larsen, and the Arsenal captain Martin Ødegaard. And yet you never dismiss the home nations. The US, they're playing home. It could be a real boost for a host country, and also they've got a great coach in Mauricio Pochettino.</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You mentioned some players. You mentioned Harry Kane earlier. Who are a couple other players? Obviously, the French and Spanish teams bring some notables to the game.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Yeah, and I think you can't really ignore this: this is going to be the last World Cup for Cristiano Ronaldo and Lionel Messi. So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I don't know. Again, 2030's not that far away. Come on, Richard.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Cristiano Ronaldo is in very good shape. Yeah. It could be the last time you see those, but you're looking to see Mbappé — these sorts of players — playing at this high level. Hopefully, we're going to see a great event and some great soccer.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All right. And put you on the spot. Who's going to win?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Berndes: For me, it's either going to be Spain or France, but obviously I hope England win.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Reynolds: All right. We will see. That concludes this episode of "MediaTalk." Thanks to Mike, Bruno, Ariel and Richard for sharing their knowledge about the business of soccer and the 2026 World Cup. You can also check out our guests' more in-depth takes and other World Cup stories on CapIQ Pro. Thanks to all of you for listening. This is Mike Reynolds. Enjoy the World Cup. Should be a lot of fun — top action over the next five weeks. I know I'll be watching. We'll catch up soon on the next installment of "MediaTalk."</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Big banks face DOJ probe over alleged debanking; Oklahoma banks announce merger</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Jun-11-2026 08:06 AM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TOP NEWS IN BANKING &amp; FINANCIAL SERVICES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US Justice Department (DOJ) has issued sweeping subpoenas to major banks, including JPMorgan Chase &amp; Co., Bank of America Corp. and Wells Fargo &amp; Co., seeking information on allegations that banks "debanked" customers, The Wall Street Journal reported, citing people familiar with the matter. The subpoenas have been issued through the US Attorney's Office in Washington, DC, led by Jeanine Pirro, the report said. So far, regulators had largely handled the review through the Office of the Comptroller of the Currency (OCC), but the new subpoenas reflect a broader role for the Justice Department, with OCC and prosecutors reportedly coordinating. The federal probe did not stem from an OCC referral, unnamed sources told the news outlet.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Oklahoma City-based BancFirst Corp., the parent company of BancFirst, agreed to acquire Bristow, Oklahoma-based Spirit BankCorp Inc. and its subsidiary, SpiritBank. The transaction is expected to close in the fourth quarter. SpiritBank will operate under its current name until it is merged into BancFirst.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US REIT same-store net operating income growth holds steady in Q1 2026</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US equity real estate investment trusts, excluding hotel-focused REITs, posted median year-over-year same-store net operating income growth of 2.6% in the first quarter.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Analysts see Danske Bank beating its 2028 targets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Analysts expect Danske Bank A/S to exceed its medium-term targets, aided by increasing activity with corporates and an AI-led efficiency push.</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READ MORE about developments highlighted by equity analysts covering the US financial services industry in our feature Research Roundup.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BANKING</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National Credit Union Administration (NCUA) sued former Jackson Area FCU CEO Leigh Bridges and her husband, Chad Bridges, alleging she diverted at least $95 million from the credit union over more than a decade and used the money to fund luxury purchases, personal accounts and other expenses, Credit Union Times reported, citing court documents. The NCUA filed a civil lawsuit in federal court in Jackson, Mississippi, on May 14, shortly after placing Jackson Area FCU into conservatorship, the report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Mahender Makhijani was charged with bank fraud in Los Angeles after prosecutors said he obtained nearly $100 million in loans by submitting allegedly falsified documents, a significant case because it helped trigger wider credit concerns at regional banks—including Western Alliance Bancorp. and Zions Bancorp. NA—which later disclosed potential losses tied to troubled loans amid other market shocks from the collapse of commercial real estate firms, Bloomberg News reported, citing a DOJ statement.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Rep. Maxine Waters (D-Calif.), the top Democrat on the House Financial Services Committee, has written to the CEOs of Goldman Sachs Group Inc., Morgan Stanley, JPMorgan Chase, Bank of America, Wells Fargo and Citigroup Inc., asking for details on how they plan to address fast-evolving threats tied to advanced AI models—specifically citing Anthropic's "Mythos" and similar systems.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DOJ has asked a federal judge to dismiss its criminal prosecution of Halkbank, a Turkish state-run lender, saying it has no plans to continue prosecuting the bank, Reuters reported. A lawyer for Halkbank did not immediately respond to the news outlet's request for comment.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Multiple groups and Democratic lawmakers are withdrawing money or threatening to do so from Citizens Bank NA unless it stops funding CoreCivic and GEO Group, companies that operate many Immigration and Customs Enforcement (ICE) detention centers, Banking Dive reported. The Greater Boston Interfaith Organization (GBIO) said it will withdraw an additional $2 million from Citizens, on top of $1 million it pulled earlier, the report said, citing a GBIO statement.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CEOs at banks tracked in the KBW Bank Index are increasingly elderly: about half are now over age 65, up from fewer than 20% two decades ago, Banking Dive reported, citing a report by Truist Securities released June 8.</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 group of investors seeking more than $270 million in damages over Tricolor asset-backed notes has lost a lawsuit against JPMorgan Chase, Barclays, and Fifth Third Bancorp, Reuters reported. The plaintiffs alleged the banks missed "giant red flags" while financing and securitizing the now-bankrupt subprime lender Tricolor's auto loan portfolio, enabling a "Ponzi-like" fraud, the report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FINANCIAL SERVICES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Moelis &amp; Co. is actively evaluating M&amp;A targets and will not hesitate to act if it finds the right partner, its CEO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RBC Capital Markets LLC is accelerating growth in the US through additional senior bankers and new-graduate hiring, while also expanding its trading and investment-banking capabilities, Bloomberg reported, citing an interview with Derek Neldner, group head and CEO of RBC Capital Markets. The Canada-based investment bank, which earns half its revenue in the US, has added 205 people in the US over the past seven months, including 23 managing directors, the report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New York-based Kalshi Inc. plans to tighten safeguards on certain prediction markets by requiring some participants to submit information about where they work, in an effort to reduce suspicious activity, including insider trading and market manipulation, The Wall Street Journal reported.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POLICY AND REGULATION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President Donald Trump has nominated Brian Johnson to serve as the director of the Consumer Financial Protection Bureau (CFPB) for five years, according to a June 10 White House notice.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American Bankers Association (ABA) said the US Treasury's Financial Crimes Enforcement Network (FinCEN) and Office of Foreign Assets Control (OFAC) should clarify the AML/CFT and sanctions obligations for secondary-market actors trading or dealing in payment stablecoins, so banks can properly assess and manage related risks.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 NCUA proposal to loosen "common bond" membership rules for federal credit unions is part of a broader trend of expanding membership beyond what Congress intended, the ABA said in a letter to the NCUA. The ABA argued the change is narrow but contributes to "incremental" reforms that cumulatively weaken the statutory common-bond framework and reduce the justification for credit unions' special legal and tax status.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Commodity Futures Trading Commission (CFTC) proposed a new review framework for event contracts—amending Regulation 40.11 and adding Appendix F to define when "gaming" or other prohibited conduct could make a contract contrary to the public interest.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Global financial regulators are warning that rapidly spreading, more autonomous AI—especially "agentic" systems that can plan and execute tasks with limited human oversight—could heighten risks to the financial system, Reuters reported, citing a report by the Financial Stability Board (FSB).</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Click here for a summary of indexes on the S&amp;P Capital IQ Pro platform.</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Daily Dose is updated as of 8 a.m. ET. Some external links may require a subscription. Links are current as of publication time, and we are not responsible if those links are unavailable later.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India's Paytm to hire 4000 people; Australia's L1 Capital appoints CFO</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Jun-11-2026 07:44 AM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S&amp;P Global Market Intelligence presents a roundup of senior management and board changes at Asia-Pacific financial institutions, excluding insurance, announced between June 4 and June 10.</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Standard Chartered Bank Bangladesh Branches said Naser Ezaz Bijoy is stepping down as CEO after nearly nine years in the role, subject to regulatory approval. Dhaka Tribune reported.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Australia-based Helia Group Ltd. appointed Mark Senkevics as CEO, effective before Dec. 1, 2026, according to a company announcement.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Australia-based L1 Capital Pty. Ltd. appointed James Allaway as CFO, succeeding Andrew Stannard, according to a company announcement. Allaway joined L1 Group from ASX-listed FleetPartners, where he served as chief strategy officer.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India-based Ad-Manum Finance Ltd. said Dheeraj Bajoliya resigned as CFO, effective June 9, citing personal reasons, according to a stock exchange filing. Bajoliya will continue as senior manager for accounts and taxation.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India-based Edelweiss Asset Reconstruction Co. Ltd. appointed Arun Mehta as managing director and CEO for a five-year term, according to Moneycontrol. The Reserve Bank of India approved the appointment. Mehta previously served as managing director and CEO of SBI Capital Markets Ltd.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India-based EAAA India Alternatives Ltd. elevated Amit Agarwal to sole CEO following the departure of Subahoo Chordia, according to the Economic Times. Chordia plans to launch his own infrastructure fund, people familiar with the matter told the publication.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India-based P.H. Capital Ltd. appointed Rahul Sharma as CEO and Aditya Himmat Bhansali as CFO, effective June 6, 2026, according to a company announcement.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Ad-Manum Finance Ltd. appointed Manish Chandan as CFO, effective June 10, according to a company announcement. The appointment follows the resignation of Dheeraj Bajoliya from the same position on June 9.</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India-based Esaar (India) Ltd. appointed Dipesh B. Mistri as CFO, effective June 10.</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ESAF Small Finance Bank appointed G Narasimha Murthy as chief risk officer for a three-year term, effective Aug. 1.</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Singapore-based United Overseas Bank Ltd. appointed Adaline Zheng as CEO of United Overseas Bank (China) Ltd., replacing retiring Peter Foo, according to a June 8 statement. George Tung will succeed Zheng as Hong Kong branch CEO. Both appointments are effective from July 1.</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Vietnam Export Import Commercial Joint Stock Bank appointed Nguyen Thanh Long as chief administrative officer and deputy CEO, effective June 8.</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Bank of America Corp. is likely to hire Anshul Gupta from Avendus Capital Pvt. Ltd. to lead its investment banking business in India, Bloomberg News reported, citing sources. Gupta, currently a managing director at Avendus and formerly with Citigroup Inc., is expected to join after completing regulatory and contractual obligations. Spokespersons for Bank of America and Avendus declined to comment. Gupta didn't respond to requests for comment.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Bank of Singapore Ltd. appointed Lim Leong Guan as head of private banking in the Middle East, South Asia and International, effective July 1, Business Times reported.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Philippines-based Security Bank Corp. announced that its wholesale banking segment head, John Cary L. Ong, stepped down, according to BusinessWorld. President and CEO Victor Lee Meng Teck will oversee the segment in the interim, working with other senior banking executives.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China appointed Ding Xiangqun minister of the Ad-Manum Finance Ltd., an official statement showed, Reuters wrote. Ding was named Communist Party committee chief in May.</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Four senior bankers in CLSA Ltd.'s Japan securities business have exited, including Oliver Matthew, head of institutional equities for Japan, and senior equity executives Henry Russell and Warren Kim, Bloomberg reported. The departures were driven by cultural frictions and lucrative compensation offers from competitors.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South Korea-based Kakao Corp. appointed Kim Woo-joo as head of its global division, according to The Korea Herald. Kim previously served as a global business executive at Kia.</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Bangladesh government has appointed new leadership for the state-owned Social Islami Bank PLC., the Dhaka Tribune reported. Kazi Shairul Hasan has been designated as chairman, while Abedur Rahman Sikder, previously the deputy managing director of Dutch-Bangla Bank PLC., has been named managing director.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Macquarie Group Ltd. chair and former Reserve Bank of Australia governor, Glenn Stevens, will become chair of the New South Wales Treasury Corp. on Sept. 1, Bloomberg reported. The finance and investment arm of the Australian state manages around A$125 billion. Stevens will replace Michael Dwyer.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Gunjan Samtani, co-chairman of Goldman Sachs Group Inc. in India and head of its India global center, will retire at the end of the year, Reuters reported. The bank has appointed Ken Castelino and Balaji Sivasubramanian as co-heads of the India technology and operations center, according to a memo seen by Reuters.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India-based IndusInd Bank Ltd. announced that Pradeep Udhas ceased to be a nonexecutive independent director, effective June 8.</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India-based Bajaj Finserv Ltd. announced that Rajiv Bajaj will step down as nonexecutive director, effective July 31.</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Julian Mulcahy, managing director at E&amp;P, joined RBC Capital Markets LLC, The Australian Financial Review reported, citing an internal memo. Mulcahy has covered Australia's small- and midcap sector for more than 30 years and is set to start at the investment bank this month.</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Thailand-based MFC Asset Management PCL appointed Supachai Somcharoen as an independent director, according to a company announcement. The board approved the appointment on June 10, 2026.</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China-based GF Securities Co. Ltd. received written resignation letters from independent nonexecutive directors Leung Shek Ling Olivia and Li Wenjing, according to a company announcement.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China-based Financial Street Securities Co. Ltd. announced that Wang Linjing resigned as a nonexecutive director, effective June 8, to focus on other personal commitments. Luo Guohua was elected as director.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China-based Bank of Guizhou Co. Ltd. announced that Yang Mingshang resigned as chairman and executive director due to work arrangements by the Guizhou provincial government.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China-based Qfin Holdings Inc. announced that Dan Zhao resigned from the board of directors, effective June 3, due to personal reasons.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Switzerland-based UBS Group AG reduced its sustainability office in Asia, halving its staff in recent months as part of a wider global reorganization, sources told Bloomberg. The lender downsized its Asia team from seven to three.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India-based fintech company One97 Communications Ltd., which operates Paytm, is set to hire about 4,000 people over the next nine months to expand its merchant network and AI-driven product offerings, a spokesperson for the company told Bloomberg. The increase would mark a roughly 10% rise in its head count of about 40,000 employees, the report noted.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Rate tracker – June 2026</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Jun-10-2026 01:00 PM</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Access a template on depository interest rates by region.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Citi names global chair of consumer and retail investment banking – Reuters</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Jun-10-2026 09:55 AM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Citigroup Inc. appointed Andrew Conway global chair of consumer and retail investment banking, Reuters reported, citing a memo.</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Conway will reportedly join Citi in September and will be based in New York. Most recently, Conway worked at Bank of America Corp. as vice chairman of consumer and retail investment banking.</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 Citi spokesperson confirmed the contents of the memo, and BofA declined to comment, according to the report.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FDIC mulls lower assessments on big banks; Kalshi moves to thwart inside trading</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Jun-10-2026 08:00 AM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TOP NEWS IN BANKING &amp; FINANCIAL SERVICES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Federal Deposit Insurance Corp. is considering lowering the quarterly assessments on large banks if they can give the agency temporary access to the bank's third-party service provider and internal systems to enable the FDIC to build IT infrastructure to quickly access data in the event of failure, Chair Travis Hill said in a speech at the US Chamber of Commerce.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Prediction market platform Kalshi Inc. plans to require employment disclosure from players seeking to bet on markets linked to sensitive issues and material nonpublic information to prevent potential insider trading and market manipulation, The Wall Street Journal reported, citing a Kalshi spokeswoman. In most cases, Kalshi won't verify the employment information provided by users unless the company learns of suspicious activity, according to the report. The changes are set to be rolled out in the coming weeks, the report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US commercial auto underwriting improves as profitability remains elusive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US commercial auto insurance market posted its best underwriting result since 2021, with the business line's net combined ratio falling to 102.0% in 2025, though the market remained technically unprofitable.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US investor risk appetite cools in June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Investor sentiment toward US equity markets waned in June but remained slightly bullish.</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READ MORE about emerging data trends that are taking place in the US financial services industry in our feature Data Dispatch.</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BANKING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Bank of America Corp. is showing positive momentum in operating leverage, and it is not because of reductions in investments, but to net interest income and asset repricing, with gains flowing directly to the bottom line without driving up expenses, co-President James DeMare said during a conference presentation.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Deposit competition is ramping up as more banks launch branch build-outs, JPMorgan Chase &amp; Co.'s CEO of Consumer and Community Banking, Marianne Lake, said during an industry conference. JPMorgan has been building out its branch network for 20 years, erecting thousands of branches. After years of closures, other large banks, including Bank of America, PNC Financial Services Group Inc. and Truist Financial Corp., announced plans to return to building out branch networks in 2025.</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Wells Fargo &amp; Co. is pursuing commercial banking growth in markets where it feels underpenetrated. The company has increased hiring and is targeting expansion in 20 specific markets after the recent removal of its regulatory asset cap has allowed the bank to compete for business it previously had to decline, CFO Michael Santomassimo said during a June 9 conference presentation.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FINANCIAL SERVICES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Morgan Stanley remains open to a bolt-on deal in its wealth management business but is more focused on organic growth, Chairman and CEO Ted Pick said at the company's annual US financials industry conference.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Card networks Visa Inc. and Mastercard Inc. obtained tentative approval from Judge Brian Cogan of the Eastern District of New York for a settlement agreement that seeks to end a 20-year legal battle with a group of merchants, who said they were being charged fees that are too high for each transaction, The Wall Street Journal reported. The settlement was initially reached last November and gives merchants more flexibility to reject certain credit cards and would mandate lowering swipe fees over multiple years, the report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Axos Clearing LLC was ordered by the Financial Industry Regulatory Authority to pay $4.92 million in damages to clients of Worden Capital Management LLC after losing an arbitration complaint to a group of 102 investors who accused Axos of turning a blind eye to malfeasance at the defunct broker/dealer it worked with, Investment News reported. According to the report, the three-person FINRA panel that ruled on the complaint said Worden Capital and its brokers used the 102 client accounts as "personal slush funds."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AI-powered alternative underwriting fintech Pagaya Technologies Ltd. is suing neobank and buy now, pay later company Klarna Inc. and parent Klarna Group PLC for allegedly misappropriating its trade secrets and breaching its license and loan sale agreements, ending the fintechs' four-year partnership, American Banker reported. The report said the suit, filed in May in the US District Court for the District of Delaware, accuses Klarna of stealing Pagaya's subprime point-of-sale underwriting model and not honoring its loan sale commitments to Pagaya, which sells Klarna's BNPL loans on the secondary market.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Banking technology company Titan OS Inc. said it has raised $3 million in new funding led by venture capitalist Entropy Ventures Fund I LP.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POLICY AND REGULATION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The Federal Reserve said it will release the results of its annual bank stress test on June 24 at 4 p.m. EDT. This year, 32 large banks were subject to the test, which includes a severe global recession scenario with heightened stress in both commercial and residential real estate and corporate debt markets.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Click here for a summary of indexes on the S&amp;P Capital IQ Pro platform.</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Daily Dose is updated as of 8 a.m. ET. Some external links may require a subscription. Links are current as of publication time, and we are not responsible if those links are unavailable later.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BofA reports positive operating leverage while investments remain intact</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Jun-09-2026 06:25 PM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 of America Corp. is showing positive momentum in operating leverage, and it is not because of reductions in investments, according to co-President James DeMare.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DeMare said the company is "talking north of 4%" for its operating leverage in the second quarter  after having guided to a roughly 2% to 3% range for full year 2026 and getting close to 3% for the first quarter. The executive attributed this expectation to net interest income and asset repricing, with gains flowing directly to the bottom line without driving up expenses.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 think that's a good indicator of kind of where we where we're seeing things trending," DeMare said during a conference presentation.</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 Access Visible Alpha estimates for Bank of America. (May require additional subscription.)</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Learn about Visible Alpha.</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Sign up for Earnings IQ Alerts to get results as soon as they're released.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DeMare noted that there has been some discussion around whether the improvements in the operating leverage are coming at the expense of investment, and he said that is not the case. "We're always looking to grow where we should be growing and in a way that we should be growing," DeMare said.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DeMare added that BofA has made significant technology investments and will continue to do so. "We want to keep driving that efficiency cleaner, simpler, better, reduce systems, bring synergies and then use those dollars to plow back into tech investment," the executive said, also noting that BofA consistently seeks opportunities for growth in the right areas while managing expenses.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Big bank branch build-outs stoke deposit competition – JPMorgan exec</w:t>
            </w:r>
          </w:p>
          <w:p w:rsidR="00A77B3E">
            <w:pPr>
              <w:pStyle w:val="Normal7"/>
              <w:keepLines/>
              <w:jc w:val="left"/>
              <w:rPr>
                <w:rStyle w:val="DefaultParagraphFont"/>
                <w:rFonts w:ascii="Arial" w:eastAsia="Arial" w:hAnsi="Arial" w:cs="Arial"/>
                <w:b/>
                <w:i w:val="0"/>
                <w:color w:val="000000"/>
                <w:sz w:val="16"/>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i w:val="0"/>
                <w:color w:val="000000"/>
                <w:sz w:val="18"/>
                <w:u w:val="single"/>
              </w:rPr>
            </w:pPr>
          </w:p>
          <w:p w:rsidR="00A77B3E">
            <w:pPr>
              <w:pStyle w:val="Normal7"/>
              <w:keepLines/>
              <w:jc w:val="left"/>
              <w:rPr>
                <w:rStyle w:val="DefaultParagraphFont"/>
                <w:rFonts w:ascii="Arial" w:eastAsia="Arial" w:hAnsi="Arial" w:cs="Arial"/>
                <w:b/>
                <w:i w:val="0"/>
                <w:color w:val="000000"/>
                <w:sz w:val="18"/>
                <w:u w:val="singl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i w:val="0"/>
          <w:color w:val="000000"/>
          <w:sz w:val="16"/>
          <w:u w:val="none"/>
        </w:rPr>
        <w:t>S&amp;P Global Market Intelligence</w:t>
      </w: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Jun-09-2026 03:14 PM</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Deposit competition is ramping up as more banks launch branch build-outs, a JPMorgan Chase &amp; Co. exec said during an industry conference.</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JPMorgan has been building out its branch network for 20 years, erecting thousands of branches. After years of closures, other large banks including Bank of America Corp., PNC Financial Services Group Inc. and Truist Financial Corp. announced plans to return to building out branch networks in 2025.</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"Imitation is the highest form of flattery. It's not surprising to me that people are looking to expand the network because it's working. It does work," CEO of Consumer and Community Banking Marianne Lake said. "We don't expect not to compete. So I would never underestimate the competition. They will build branches. They will be successful. We just have to do it better."</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Increasing branches is directly correlated with deposit growth, Lake said, with new branches accounting for 40% of JPMorgan Chase's new deposit share gains.</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JPMorgan Chase opened more branches than it closed in 2023, 2024 and 2025, making it the only bank with over $100 billion in assets to post yearly net branch openings since 2016 besides Citigroup Inc. which posted 10 net openings in 2025, according to S&amp;P Global Market Intelligence data.</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 total, JPMorgan Chase has built 1,000 branches since 2018, and 1,000 in the decade before that, Lake said. JPMorgan Chase plans to continue its momentum, building 160 branches in 2026.</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"It's going to be hard to catch up with us," she said. "We ... have more than a decade of history to catch up on all of that tailwind of growth, a younger network, a proven capability of doing this — 160 a year, and it's not easy, right? It's like fitness. You have to do the exercises. You have to have the technique, you have to be able to do it."</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The bank's newly built branches outperform other banks that entered new markets at the same time on deposit production by 1.5x, she said.</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"So you can just do it better, too," Lake said. "Our network is really, really producing and it will be hard to just catch up."</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7"/>
              <w:keepLines/>
              <w:jc w:val="left"/>
              <w:rPr>
                <w:rStyle w:val="DefaultParagraphFont"/>
                <w:rFonts w:ascii="Arial" w:eastAsia="Arial" w:hAnsi="Arial" w:cs="Arial"/>
                <w:b w:val="0"/>
                <w:i w:val="0"/>
                <w:color w:val="000000"/>
                <w:sz w:val="16"/>
                <w:u w:val="none"/>
              </w:rPr>
            </w:pPr>
          </w:p>
          <w:p w:rsidR="00A77B3E">
            <w:pPr>
              <w:pStyle w:val="Normal7"/>
              <w:keepLines/>
              <w:jc w:val="left"/>
              <w:rPr>
                <w:rStyle w:val="DefaultParagraphFont"/>
                <w:rFonts w:ascii="Arial" w:eastAsia="Arial" w:hAnsi="Arial" w:cs="Arial"/>
                <w:b w:val="0"/>
                <w:i w:val="0"/>
                <w:color w:val="000000"/>
                <w:sz w:val="16"/>
                <w:u w:val="none"/>
              </w:rPr>
            </w:pPr>
          </w:p>
        </w:tc>
      </w:tr>
    </w:tbl>
    <w:p w:rsidR="00A77B3E">
      <w:pPr>
        <w:pStyle w:val="Normal7"/>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bookmarkStart w:id="39" w:name="bookmark-31End"/>
      <w:r>
        <w:rPr>
          <w:rStyle w:val="DefaultParagraphFont"/>
          <w:rFonts w:ascii="Arial" w:eastAsia="Arial" w:hAnsi="Arial" w:cs="Arial"/>
          <w:b w:val="0"/>
          <w:i w:val="0"/>
          <w:color w:val="FFFFFF"/>
          <w:sz w:val="0"/>
          <w:u w:val="none"/>
        </w:rPr>
        <w:t>Bookmark</w:t>
      </w:r>
      <w:bookmarkEnd w:id="39"/>
    </w:p>
    <w:p w:rsidR="00A77B3E">
      <w:pPr>
        <w:pStyle w:val="Normal8"/>
        <w:keepLines/>
        <w:rPr>
          <w:rStyle w:val="DefaultParagraphFont"/>
        </w:rPr>
      </w:pPr>
      <w:bookmarkStart w:id="40" w:name="bookmark-32"/>
      <w:r>
        <w:rPr>
          <w:rStyle w:val="DefaultParagraphFont"/>
          <w:rFonts w:ascii="Arial" w:eastAsia="Arial" w:hAnsi="Arial" w:cs="Arial"/>
          <w:b w:val="0"/>
          <w:i w:val="0"/>
          <w:color w:val="FFFFFF"/>
          <w:sz w:val="0"/>
          <w:u w:val="none"/>
        </w:rPr>
        <w:t>Bookmark</w:t>
      </w:r>
      <w:bookmarkEnd w:id="40"/>
    </w:p>
    <w:tbl>
      <w:tblPr>
        <w:tblW w:w="5000" w:type="pct"/>
        <w:tblCellMar>
          <w:left w:w="0" w:type="dxa"/>
          <w:right w:w="0" w:type="dxa"/>
        </w:tblCellMar>
      </w:tblPr>
      <w:tblGrid>
        <w:gridCol w:w="10656"/>
      </w:tblGrid>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12 Residential Single Family Properties in Pacific West Coast Inland Empire Region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383 Million Euro Hotel Sector Loan Portfolio</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40/86 Advisors Inc., Retail Mutual Fund Business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ABN Amro Lasalle Bank</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Agility Bank, National Association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Akoya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Alie Street Investments 18 Limited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Alie Street Investments 2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Alie Street Investments 3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Alie Street Investments 4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Alie Street Investments 6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Alie Street Investments Limited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Asia Investment Consulting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Asian American Merchant Bank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Asset-backed Funding Corp - Asset-backed Certificates Series 2002-Opt1</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Aswan Village Associates,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Aveng Limited (JSE:AEG)</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 Electronic Data Processing (Guangzhou)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 GSS International B.V.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 GSS International C.V.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 GSTS GP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 Hedge Fund Direct, LP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 Leasing &amp; Capital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Canada Finance Company</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BAC Capital Trust</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BAC Capital Trust 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IV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IX</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VI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VII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VIII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XIV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XIX</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XVI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XVII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XVIII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Capital Trust XX</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BAC LB Capital Funding Trust 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Balanced Capital Services,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Banc of America Capital (SF)</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Banc of America Commercial Finance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Banc of America Middle Market Funding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Banc of America Mortgage Capital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Banc of America Practice Solutions,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Banc of America Specialist,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Banc Of America Specialty Finance,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 China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(Espana) SA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Asset Management</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Asset Management, S.A. de C.V., Sociedad Operadora de Sociedades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Canada Leasing VI,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Commercial Banking</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Community Development Venture Funds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 (DE), Euro Commercial Paper.</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Bank of America Corp. , Credit Group.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of America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$5.8 billion in Related Servicing Advance Receivables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32 Money Rooms And Related Facilities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401K Plan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Asset Management Arm</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Investment Arm</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Investment Banking Arm</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Nine Branches in Missouri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Part of Home Loan Portfolio</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Europe Card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of America Europe DAC, Amsterdam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Europe DAC, Stockholm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Home Loans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Bank Of America Leasing And Capital Group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Bank Of America Merrill Lynch (China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of America Merrill Lynch Banco Múltiplo S.A.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Merrill Lynch Emea Holdings 1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Military Bank</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N.A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N.A., Hong Kong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of America N.A., Seoul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National Association (Phoenix)</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of America North Carolina, N.A.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North Carolina, National Association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of America Pension Fund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Private Bank</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SA CCVM</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Securities Japan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of America, Alabama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Corp., Investment Arm</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Bank Of America, Idaho, Na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Bank Of America, Illinois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of America, N.A. Beijing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N.A., Moscow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 Of America, N.a., singapore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Bank Of America, N.A., Switzerland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Bank Of America, N.A.,Thailand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 South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Bankamerica Cap 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Bankamerica Capital 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BankAmerica Capital 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BankAmerica Corp.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Bankamerica Institutional Capital 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BankAmerica Institutional Capital 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BankAmerica Institutional Capital B</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Bankamerica Realty Finance,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BankAmerica Realty Services,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BankBoston Asset Management Ltda.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BankBoston Capital Trust 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BankBoston Capital Trust 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BankBoston Capital Trust IV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BankBoston SA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Bankboston, N.A., Singapore</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BAS Capital Funding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BILL Holdings, Inc. (NYSE:BILL)</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BoA Luxembourg S.a.r.l. / B.V.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BoA Netherlands Cooperatieve U.A.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Boatmen's Trust Company Of Arkansas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Boatmen's Trust Company of Texas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BofA Advisors,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Bofa Capital Management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BofA Finance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BofA Merrill Lynch International Limited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BofA Securities India Limited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Boston Securitizadora S.A.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Bracebridge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Brown Venture Group,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BRV Capital II Ltda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C&amp;S/Sovran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C&amp;S/Sovran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Cannon Finance Pty Limited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Capital Markets Gateway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Carolina Pacific,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Citizens and Peoples National Bank</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CNB Bancorp,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Countrywide Alternative Asset Management,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Countrywide Capital 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Countrywide Capital IV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Countrywide Capital IX</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Countrywide Capital VI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Countrywide Capital VII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Countrywide Capital VIII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Countrywide Financial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Coyote Ventures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CrossBoundary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CSB&amp;T Bancorp,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Daimlerchrysler Services North America LLC, Consumer Credit Card Portfolios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DigitalBridge Group, Inc. (NYSE:DBRG)</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Direct Access Financial Corp.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Distressed Loans of Jayaswal Neco Industries Limited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Early Warning Services,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Excelsior 2001 Partners Fund II, L.P.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Excelsior 2001 Partners Master Fund,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Excelsior Hedge Fund Direct, LP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Facilities Management eXpress,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Family Wealth Advisors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Fearless Fund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Fenics Market Data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Financial Labs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FinancialOxygen,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Finsbury Square Limited Partnership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First Independence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Fleet Business Credit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Fleet Capital Trust 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Fleet Capital Trust IX</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Fleet Clearing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Fleet Credit Card Funding Trust</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Fleet Education Financing</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Fleet Funding Corp.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Fleet Growth Resources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Fleet Mortgage Group,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Fleet Real Estate Capital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Fleet Venture Resources,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FleetBoston Financial Corp. (Arizona Branch)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FleetBoston Financial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Fleetwood Credit Corp.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Fnality International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FSC Corp.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Genesis Global Technology Limited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Giants Abs Co.,Ltd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GoDigital Music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Gordon Brothers Capital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Greenwood,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Healthcare Royalties Trust</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Here Enterprise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HNC Realty Company</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HybridFi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Indian Head Banks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Inmobiliaria de Lerma y Amazonas, S.A. de C.V.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Institutional Capital Network,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Intercontinental Bank</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International Special Situations Holdings C.V.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Ironwood (FP) Limited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Jam City,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Jenzabar,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Kecalp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KeyCorp., Prime Indirect Automobile Loan Portfolio</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Large ship loan portfolio</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LaSalle Corporate Finance</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Latin American Agribusiness Development Corporation S.A.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Liberty Financial Services,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LINC Housing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Little Leaf Farms,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LSMFI,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Luma Financial Technologies,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M&amp;F Bancorp, Inc. (OTCPK:MFBP)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Mastercard Incorporated (NYSE:MA)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MBNA Capital 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MBNA Capital 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MBNA Capital B</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MBNA Capital 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MBNA Capital 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MBNA Capital E</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MBNA Capital 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MBNA Community Development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MBNA Corp.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Medical Staffing Network Holdings Inc., Substantially All Assets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Melrose Industries PLC (LSE:MRO)</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&amp; Co.,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Benchmark Holdings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Capital Trust 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Capital Trust 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Commodities GmbH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European Asset Holdings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Global Private Equity (Asia)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Global Wealth Management</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Leveraged Ventures L.P. 2001</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MBP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Municipal ABS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Preferred Capital Trust IV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Preferred Capital Trust 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Merrill Lynch Real Estate II Incorporated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Mesirow Access, Ltd.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Ml Newcastle Luxembourg S.A.R.L</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Mnc Consumer Discount Company</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MNC Financial,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Mortgage Corporation of The South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Nasdaq Private Market,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NationsBank Asset Management Group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NationsBank Commercial Loan Master Trust</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NationsBank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NationsBank Texas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NationsCredit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NB Capital Trust 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NB Capital Trust III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NB Capital Trust IV</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NB Holdings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NetFuel,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NMS Services (Cayman)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NMS Services,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 U.S Consumer Credit Card Business of Bank of America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Obp Cogen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OCA S.A.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Optus Financial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Ostseeklinik Poel GmbH &amp; Co. KG</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Ouralan GmbH</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Overlooked Ventures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Park At Hillside,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Park Sienna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Paxos Trust Company,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Phone Part Dieu SAS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PIH South Salem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Precision Business Systems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Progress Capital Trust I</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Purestream Trading Technologies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Reverse Mortgage of America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RF7,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Rubicon Carbon Services,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SBMB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Seattle Financial Group,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Security Pacific Merchant Bank</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South Charles Investment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South Charles Realty Corporation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Stonegate Meadows, L.P.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STRIVR Labs,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Supply Change Capital Management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Symphony Communication Services,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Syndicated Properties Investments,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Systematic Momentum FuturesAccess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TAC Bancshares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22 Fund</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The Bank of America Auto Group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The Bank of America Charitable Foundation,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The Bank of America Pension Plan</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Bank of East Asia, Limited (SEHK:23)</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The Boston Investment Group S.A.</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Trenton Park Apartments Limited Partnership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TriCo Wireless PCS,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Tridentx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Turtle Hill Townhomes, L.P.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Vector Partners, LP</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Versana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Virginia Capital Partners,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Vubiquity,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White Oak Energy, L.L.C.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Works,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Worthen Development Corporation Inc</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Xpansiv Limited</w:t>
            </w:r>
          </w:p>
        </w:tc>
      </w:tr>
    </w:tbl>
    <w:p w:rsidR="00A77B3E">
      <w:pPr>
        <w:pStyle w:val="Normal8"/>
        <w:keepLines/>
        <w:rPr>
          <w:rStyle w:val="DefaultParagraphFont"/>
          <w:rFonts w:ascii="Arial" w:eastAsia="Arial" w:hAnsi="Arial" w:cs="Arial"/>
          <w:b w:val="0"/>
          <w:i w:val="0"/>
          <w:color w:val="000000"/>
          <w:sz w:val="16"/>
          <w:u w:val="none"/>
        </w:rPr>
        <w:sectPr>
          <w:headerReference w:type="default" r:id="rId15"/>
          <w:pgSz w:w="12240" w:h="15840"/>
          <w:pgMar w:top="1440" w:right="792" w:bottom="1440" w:left="792" w:header="490" w:footer="619" w:gutter="0"/>
          <w:cols w:space="708"/>
          <w:docGrid w:linePitch="360"/>
        </w:sectPr>
      </w:pPr>
    </w:p>
    <w:p w:rsidR="00A77B3E">
      <w:pPr>
        <w:pStyle w:val="Normal8"/>
        <w:keepLines/>
        <w:jc w:val="left"/>
        <w:rPr>
          <w:rStyle w:val="DefaultParagraphFont"/>
          <w:rFonts w:ascii="Arial" w:eastAsia="Arial" w:hAnsi="Arial" w:cs="Arial"/>
          <w:b w:val="0"/>
          <w:i w:val="0"/>
          <w:color w:val="000000"/>
          <w:sz w:val="16"/>
          <w:u w:val="none"/>
        </w:rPr>
      </w:pPr>
      <w:bookmarkStart w:id="41" w:name="bookmark-32End"/>
      <w:r>
        <w:rPr>
          <w:rStyle w:val="DefaultParagraphFont"/>
          <w:rFonts w:ascii="Arial" w:eastAsia="Arial" w:hAnsi="Arial" w:cs="Arial"/>
          <w:b w:val="0"/>
          <w:i w:val="0"/>
          <w:color w:val="FFFFFF"/>
          <w:sz w:val="0"/>
          <w:u w:val="none"/>
        </w:rPr>
        <w:t>Bookmark</w:t>
      </w:r>
      <w:bookmarkEnd w:id="41"/>
      <w:bookmarkStart w:id="42" w:name="bookmark-0End"/>
      <w:r>
        <w:rPr>
          <w:rStyle w:val="DefaultParagraphFont"/>
          <w:rFonts w:ascii="Arial" w:eastAsia="Arial" w:hAnsi="Arial" w:cs="Arial"/>
          <w:b w:val="0"/>
          <w:i w:val="0"/>
          <w:color w:val="FFFFFF"/>
          <w:sz w:val="0"/>
          <w:u w:val="none"/>
        </w:rPr>
        <w:t>Bookmark</w:t>
      </w:r>
      <w:bookmarkEnd w:id="42"/>
    </w:p>
    <w:tbl>
      <w:tblPr>
        <w:tblW w:w="5000" w:type="pct"/>
        <w:tblCellMar>
          <w:left w:w="0" w:type="dxa"/>
          <w:right w:w="0" w:type="dxa"/>
        </w:tblCellMar>
      </w:tblPr>
      <w:tblGrid>
        <w:gridCol w:w="10656"/>
      </w:tblGrid>
      <w:tr>
        <w:tblPrEx>
          <w:tblW w:w="5000" w:type="pct"/>
          <w:tblCellMar>
            <w:left w:w="0" w:type="dxa"/>
            <w:right w:w="0" w:type="dxa"/>
          </w:tblCellMar>
        </w:tblPrEx>
        <w:trPr>
          <w:cantSplit/>
          <w:trHeight w:hRule="auto" w:val="240"/>
        </w:trPr>
        <w:tc>
          <w:tcPr>
            <w:tcW w:w="500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p>
        </w:tc>
      </w:tr>
    </w:tbl>
    <w:p w:rsidR="00A77B3E">
      <w:pPr>
        <w:pStyle w:val="Normal8"/>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w:t>
      </w:r>
      <w:r>
        <w:rPr>
          <w:rStyle w:val="DefaultParagraphFont"/>
          <w:rFonts w:ascii="Arial" w:eastAsia="Arial" w:hAnsi="Arial" w:cs="Arial"/>
          <w:b w:val="0"/>
          <w:i w:val="0"/>
          <w:color w:val="008000"/>
          <w:sz w:val="16"/>
          <w:u w:val="none"/>
        </w:rPr>
        <w:t xml:space="preserve"> denotes proprietary relationship information.</w:t>
      </w:r>
    </w:p>
    <w:tbl>
      <w:tblPr>
        <w:tblW w:w="5000" w:type="pct"/>
        <w:tblCellMar>
          <w:left w:w="0" w:type="dxa"/>
          <w:right w:w="0" w:type="dxa"/>
        </w:tblCellMar>
      </w:tblPr>
      <w:tblGrid>
        <w:gridCol w:w="5299"/>
        <w:gridCol w:w="5357"/>
      </w:tblGrid>
      <w:tr>
        <w:tblPrEx>
          <w:tblW w:w="5000" w:type="pct"/>
          <w:tblCellMar>
            <w:left w:w="0" w:type="dxa"/>
            <w:right w:w="0" w:type="dxa"/>
          </w:tblCellMar>
        </w:tblPrEx>
        <w:trPr>
          <w:cantSplit/>
          <w:trHeight w:hRule="auto" w:val="240"/>
        </w:trPr>
        <w:tc>
          <w:tcPr>
            <w:tcW w:w="265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8"/>
              <w:keepLines/>
              <w:jc w:val="righ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Estimates data provided by</w:t>
            </w:r>
          </w:p>
        </w:tc>
        <w:tc>
          <w:tcPr>
            <w:tcW w:w="265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pict>
                <v:shape id="_x0000_i1027" type="#_x0000_t75" style="height:30.55pt;width:74.1pt">
                  <v:imagedata r:id="rId16" o:title=""/>
                </v:shape>
              </w:pict>
            </w:r>
          </w:p>
        </w:tc>
      </w:tr>
      <w:tr>
        <w:tblPrEx>
          <w:tblW w:w="5000" w:type="pct"/>
          <w:tblCellMar>
            <w:left w:w="0" w:type="dxa"/>
            <w:right w:w="0" w:type="dxa"/>
          </w:tblCellMar>
        </w:tblPrEx>
        <w:trPr>
          <w:cantSplit/>
          <w:trHeight w:hRule="auto" w:val="240"/>
        </w:trPr>
        <w:tc>
          <w:tcPr>
            <w:tcW w:w="265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8"/>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Historical Equity Pricing Data supplied by Interactive Data Pricing and Reference Data LLC</w:t>
            </w:r>
          </w:p>
        </w:tc>
        <w:tc>
          <w:tcPr>
            <w:tcW w:w="265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pict>
                <v:shape id="_x0000_i1028" type="#_x0000_t75" style="height:35.75pt;width:52pt">
                  <v:imagedata r:id="rId17" o:title=""/>
                </v:shape>
              </w:pict>
            </w:r>
          </w:p>
        </w:tc>
      </w:tr>
      <w:tr>
        <w:tblPrEx>
          <w:tblW w:w="5000" w:type="pct"/>
          <w:tblCellMar>
            <w:left w:w="0" w:type="dxa"/>
            <w:right w:w="0" w:type="dxa"/>
          </w:tblCellMar>
        </w:tblPrEx>
        <w:trPr>
          <w:cantSplit/>
          <w:trHeight w:hRule="auto" w:val="240"/>
        </w:trPr>
        <w:tc>
          <w:tcPr>
            <w:tcW w:w="265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8"/>
              <w:keepLines/>
              <w:jc w:val="righ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Regulatory News Service data provided by</w:t>
            </w:r>
          </w:p>
        </w:tc>
        <w:tc>
          <w:tcPr>
            <w:tcW w:w="265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8"/>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pict>
                <v:shape id="_x0000_i1029" type="#_x0000_t75" style="height:19.5pt;width:78pt">
                  <v:imagedata r:id="rId18" o:title=""/>
                </v:shape>
              </w:pict>
            </w:r>
          </w:p>
        </w:tc>
      </w:tr>
    </w:tbl>
    <w:p w:rsidR="00A77B3E">
      <w:pPr>
        <w:pStyle w:val="Normal8"/>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p w:rsidR="00A77B3E">
      <w:pPr>
        <w:pStyle w:val="Normal8"/>
        <w:keepLines/>
        <w:jc w:val="left"/>
        <w:rPr>
          <w:rStyle w:val="DefaultParagraphFont"/>
          <w:rFonts w:ascii="Arial" w:eastAsia="Arial" w:hAnsi="Arial" w:cs="Arial"/>
          <w:b w:val="0"/>
          <w:i w:val="0"/>
          <w:color w:val="008000"/>
          <w:sz w:val="16"/>
          <w:u w:val="none"/>
        </w:rPr>
      </w:pPr>
    </w:p>
    <w:sectPr>
      <w:type w:val="continuous"/>
      <w:pgSz w:w="12240" w:h="15840"/>
      <w:pgMar w:top="1440" w:right="792" w:bottom="1440" w:left="792" w:header="490" w:footer="61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left w:w="0" w:type="dxa"/>
        <w:right w:w="0" w:type="dxa"/>
      </w:tblCellMar>
    </w:tblPr>
    <w:tblGrid>
      <w:gridCol w:w="120"/>
      <w:gridCol w:w="2300"/>
      <w:gridCol w:w="8116"/>
      <w:gridCol w:w="120"/>
    </w:tblGrid>
    <w:tr>
      <w:tblPrEx>
        <w:tblW w:w="5000" w:type="pct"/>
        <w:tblCellMar>
          <w:left w:w="0" w:type="dxa"/>
          <w:right w:w="0" w:type="dxa"/>
        </w:tblCellMar>
      </w:tblPrEx>
      <w:trPr>
        <w:trHeight w:hRule="exact" w:val="2"/>
      </w:trPr>
      <w:tc>
        <w:tcPr>
          <w:tcW w:w="0" w:type="auto"/>
          <w:shd w:val="clear" w:color="auto" w:fill="000000"/>
          <w:tcMar>
            <w:top w:w="30" w:type="dxa"/>
            <w:left w:w="40" w:type="dxa"/>
            <w:bottom w:w="30" w:type="dxa"/>
            <w:right w:w="40" w:type="dxa"/>
          </w:tcMar>
          <w:vAlign w:val="center"/>
        </w:tcPr>
        <w:p/>
      </w:tc>
      <w:tc>
        <w:tcPr>
          <w:tcW w:w="0" w:type="auto"/>
          <w:shd w:val="clear" w:color="auto" w:fill="000000"/>
          <w:tcMar>
            <w:top w:w="30" w:type="dxa"/>
            <w:left w:w="40" w:type="dxa"/>
            <w:bottom w:w="30" w:type="dxa"/>
            <w:right w:w="40" w:type="dxa"/>
          </w:tcMar>
          <w:vAlign w:val="center"/>
        </w:tcPr>
        <w:p/>
      </w:tc>
      <w:tc>
        <w:tcPr>
          <w:tcW w:w="0" w:type="auto"/>
          <w:shd w:val="clear" w:color="auto" w:fill="000000"/>
          <w:tcMar>
            <w:top w:w="30" w:type="dxa"/>
            <w:left w:w="40" w:type="dxa"/>
            <w:bottom w:w="30" w:type="dxa"/>
            <w:right w:w="40" w:type="dxa"/>
          </w:tcMar>
          <w:vAlign w:val="center"/>
        </w:tcPr>
        <w:p/>
      </w:tc>
      <w:tc>
        <w:tcPr>
          <w:tcW w:w="40" w:type="dxa"/>
          <w:shd w:val="clear" w:color="auto" w:fill="000000"/>
          <w:tcMar>
            <w:top w:w="30" w:type="dxa"/>
            <w:left w:w="40" w:type="dxa"/>
            <w:bottom w:w="30" w:type="dxa"/>
            <w:right w:w="40" w:type="dxa"/>
          </w:tcMar>
          <w:vAlign w:val="center"/>
        </w:tcPr>
        <w:p/>
      </w:tc>
    </w:tr>
    <w:tr>
      <w:tblPrEx>
        <w:tblW w:w="5000" w:type="pct"/>
        <w:tblCellMar>
          <w:left w:w="0" w:type="dxa"/>
          <w:right w:w="0" w:type="dxa"/>
        </w:tblCellMar>
      </w:tblPrEx>
      <w:trPr>
        <w:trHeight w:hRule="exact" w:val="300"/>
      </w:trPr>
      <w:tc>
        <w:tcPr>
          <w:tcW w:w="40" w:type="dxa"/>
          <w:shd w:val="clear" w:color="auto" w:fill="FFFFFF"/>
          <w:tcMar>
            <w:top w:w="30" w:type="dxa"/>
            <w:left w:w="40" w:type="dxa"/>
            <w:bottom w:w="30" w:type="dxa"/>
            <w:right w:w="40" w:type="dxa"/>
          </w:tcMar>
          <w:vAlign w:val="center"/>
        </w:tcPr>
        <w:p>
          <w:pPr>
            <w:jc w:val="left"/>
          </w:pPr>
        </w:p>
      </w:tc>
      <w:tc>
        <w:tcPr>
          <w:tcW w:w="0" w:type="auto"/>
          <w:shd w:val="clear" w:color="auto" w:fill="FFFFFF"/>
          <w:tcMar>
            <w:top w:w="30" w:type="dxa"/>
            <w:left w:w="40" w:type="dxa"/>
            <w:bottom w:w="30" w:type="dxa"/>
            <w:right w:w="40" w:type="dxa"/>
          </w:tcMar>
          <w:vAlign w:val="center"/>
        </w:tcPr>
        <w:p>
          <w:pPr>
            <w:jc w:val="left"/>
            <w:rPr>
              <w:rFonts w:ascii="Arial" w:eastAsia="Arial" w:hAnsi="Arial" w:cs="Arial"/>
              <w:b w:val="0"/>
              <w:i w:val="0"/>
              <w:color w:val="000000"/>
              <w:sz w:val="16"/>
              <w:u w:val="none"/>
            </w:rPr>
          </w:pPr>
          <w:r>
            <w:rPr>
              <w:rFonts w:ascii="Arial" w:eastAsia="Arial" w:hAnsi="Arial" w:cs="Arial"/>
              <w:b w:val="0"/>
              <w:i w:val="0"/>
              <w:color w:val="000000"/>
              <w:sz w:val="16"/>
              <w:u w:val="none"/>
            </w:rPr>
            <w:t>Date Created :Jun-17-2026</w:t>
          </w:r>
        </w:p>
      </w:tc>
      <w:tc>
        <w:tcPr>
          <w:tcW w:w="0" w:type="auto"/>
          <w:shd w:val="clear" w:color="auto" w:fill="FFFFFF"/>
          <w:tcMar>
            <w:top w:w="30" w:type="dxa"/>
            <w:left w:w="40" w:type="dxa"/>
            <w:bottom w:w="30" w:type="dxa"/>
            <w:right w:w="40" w:type="dxa"/>
          </w:tcMar>
          <w:vAlign w:val="center"/>
        </w:tcPr>
        <w:p>
          <w:pPr>
            <w:jc w:val="right"/>
            <w:rPr>
              <w:rFonts w:ascii="Arial" w:eastAsia="Arial" w:hAnsi="Arial" w:cs="Arial"/>
              <w:b w:val="0"/>
              <w:i w:val="0"/>
              <w:color w:val="000000"/>
              <w:sz w:val="16"/>
              <w:u w:val="none"/>
            </w:rPr>
          </w:pPr>
          <w:r>
            <w:rPr>
              <w:rFonts w:ascii="Arial" w:eastAsia="Arial" w:hAnsi="Arial" w:cs="Arial"/>
              <w:b w:val="0"/>
              <w:i w:val="0"/>
              <w:color w:val="FF0000"/>
              <w:sz w:val="16"/>
              <w:u w:val="none"/>
            </w:rPr>
            <w:t>Copyright © 2026 S&amp;P Global Market Intelligence, a division of S&amp;P Global Inc. All Rights reserved.</w:t>
          </w:r>
        </w:p>
      </w:tc>
      <w:tc>
        <w:tcPr>
          <w:tcW w:w="40" w:type="dxa"/>
          <w:shd w:val="clear" w:color="auto" w:fill="FFFFFF"/>
          <w:tcMar>
            <w:top w:w="30" w:type="dxa"/>
            <w:left w:w="40" w:type="dxa"/>
            <w:bottom w:w="30" w:type="dxa"/>
            <w:right w:w="40" w:type="dxa"/>
          </w:tcMar>
          <w:vAlign w:val="center"/>
        </w:tcPr>
        <w:p>
          <w:pPr>
            <w:jc w:val="right"/>
            <w:rPr>
              <w:rFonts w:ascii="Arial" w:eastAsia="Arial" w:hAnsi="Arial" w:cs="Arial"/>
              <w:b w:val="0"/>
              <w:i w:val="0"/>
              <w:color w:val="FF0000"/>
              <w:sz w:val="16"/>
              <w:u w:val="none"/>
            </w:rPr>
          </w:pPr>
        </w:p>
      </w:tc>
    </w:tr>
    <w:tr>
      <w:tblPrEx>
        <w:tblW w:w="5000" w:type="pct"/>
        <w:tblCellMar>
          <w:left w:w="0" w:type="dxa"/>
          <w:right w:w="0" w:type="dxa"/>
        </w:tblCellMar>
      </w:tblPrEx>
      <w:trPr>
        <w:trHeight w:hRule="exact" w:val="220"/>
      </w:trPr>
      <w:tc>
        <w:tcPr>
          <w:tcW w:w="40" w:type="dxa"/>
          <w:shd w:val="clear" w:color="auto" w:fill="FFFFFF"/>
          <w:tcMar>
            <w:top w:w="30" w:type="dxa"/>
            <w:left w:w="40" w:type="dxa"/>
            <w:bottom w:w="30" w:type="dxa"/>
            <w:right w:w="40" w:type="dxa"/>
          </w:tcMar>
          <w:vAlign w:val="center"/>
        </w:tcPr>
        <w:p>
          <w:pPr>
            <w:jc w:val="right"/>
            <w:rPr>
              <w:rFonts w:ascii="Arial" w:eastAsia="Arial" w:hAnsi="Arial" w:cs="Arial"/>
              <w:b w:val="0"/>
              <w:i w:val="0"/>
              <w:color w:val="FF0000"/>
              <w:sz w:val="16"/>
              <w:u w:val="none"/>
            </w:rPr>
          </w:pPr>
        </w:p>
      </w:tc>
      <w:tc>
        <w:tcPr>
          <w:tcW w:w="0" w:type="auto"/>
          <w:shd w:val="clear" w:color="auto" w:fill="FFFFFF"/>
          <w:tcMar>
            <w:top w:w="30" w:type="dxa"/>
            <w:left w:w="40" w:type="dxa"/>
            <w:bottom w:w="30" w:type="dxa"/>
            <w:right w:w="40" w:type="dxa"/>
          </w:tcMar>
          <w:vAlign w:val="center"/>
        </w:tcPr>
        <w:p>
          <w:pPr>
            <w:jc w:val="right"/>
            <w:rPr>
              <w:rFonts w:ascii="Arial" w:eastAsia="Arial" w:hAnsi="Arial" w:cs="Arial"/>
              <w:b w:val="0"/>
              <w:i w:val="0"/>
              <w:color w:val="FF0000"/>
              <w:sz w:val="16"/>
              <w:u w:val="none"/>
            </w:rPr>
          </w:pPr>
        </w:p>
      </w:tc>
      <w:tc>
        <w:tcPr>
          <w:tcW w:w="0" w:type="auto"/>
          <w:shd w:val="clear" w:color="auto" w:fill="FFFFFF"/>
          <w:tcMar>
            <w:top w:w="30" w:type="dxa"/>
            <w:left w:w="40" w:type="dxa"/>
            <w:bottom w:w="30" w:type="dxa"/>
            <w:right w:w="40" w:type="dxa"/>
          </w:tcMar>
          <w:vAlign w:val="center"/>
        </w:tcPr>
        <w:p>
          <w:pPr>
            <w:jc w:val="right"/>
            <w:rPr>
              <w:rFonts w:ascii="Arial" w:eastAsia="Arial" w:hAnsi="Arial" w:cs="Arial"/>
              <w:b w:val="0"/>
              <w:i w:val="0"/>
              <w:color w:val="FF0000"/>
              <w:sz w:val="16"/>
              <w:u w:val="none"/>
            </w:rPr>
          </w:pPr>
          <w:r>
            <w:rPr>
              <w:rFonts w:ascii="Arial" w:eastAsia="Arial" w:hAnsi="Arial" w:cs="Arial"/>
              <w:b w:val="0"/>
              <w:i w:val="0"/>
              <w:color w:val="000000"/>
              <w:sz w:val="16"/>
              <w:u w:val="none"/>
            </w:rPr>
            <w:t xml:space="preserve">Page </w:t>
          </w:r>
          <w:r>
            <w:rPr>
              <w:rFonts w:ascii="Arial" w:eastAsia="Arial" w:hAnsi="Arial" w:cs="Arial"/>
              <w:b w:val="0"/>
              <w:i w:val="0"/>
              <w:color w:val="000000"/>
              <w:sz w:val="16"/>
              <w:u w:val="none"/>
            </w:rPr>
            <w:fldChar w:fldCharType="begin"/>
          </w:r>
          <w:r>
            <w:rPr>
              <w:rFonts w:ascii="Arial" w:eastAsia="Arial" w:hAnsi="Arial" w:cs="Arial"/>
              <w:b w:val="0"/>
              <w:i w:val="0"/>
              <w:color w:val="000000"/>
              <w:sz w:val="16"/>
              <w:u w:val="none"/>
            </w:rPr>
            <w:instrText>PAGE</w:instrText>
          </w:r>
          <w:r>
            <w:rPr>
              <w:rFonts w:ascii="Arial" w:eastAsia="Arial" w:hAnsi="Arial" w:cs="Arial"/>
              <w:b w:val="0"/>
              <w:i w:val="0"/>
              <w:color w:val="000000"/>
              <w:sz w:val="16"/>
              <w:u w:val="none"/>
            </w:rPr>
            <w:fldChar w:fldCharType="separate"/>
          </w:r>
          <w:r>
            <w:rPr>
              <w:rFonts w:ascii="Arial" w:eastAsia="Arial" w:hAnsi="Arial" w:cs="Arial"/>
              <w:b w:val="0"/>
              <w:i w:val="0"/>
              <w:color w:val="000000"/>
              <w:sz w:val="16"/>
              <w:u w:val="none"/>
            </w:rPr>
            <w:t>81</w:t>
          </w:r>
          <w:r>
            <w:rPr>
              <w:rFonts w:ascii="Arial" w:eastAsia="Arial" w:hAnsi="Arial" w:cs="Arial"/>
              <w:b w:val="0"/>
              <w:i w:val="0"/>
              <w:color w:val="000000"/>
              <w:sz w:val="16"/>
              <w:u w:val="none"/>
            </w:rPr>
            <w:fldChar w:fldCharType="end"/>
          </w:r>
          <w:r>
            <w:rPr>
              <w:rFonts w:ascii="Arial" w:eastAsia="Arial" w:hAnsi="Arial" w:cs="Arial"/>
              <w:b w:val="0"/>
              <w:i w:val="0"/>
              <w:color w:val="000000"/>
              <w:sz w:val="16"/>
              <w:u w:val="none"/>
            </w:rPr>
            <w:t xml:space="preserve"> of </w:t>
          </w:r>
          <w:r>
            <w:rPr>
              <w:rFonts w:ascii="Arial" w:eastAsia="Arial" w:hAnsi="Arial" w:cs="Arial"/>
              <w:b w:val="0"/>
              <w:i w:val="0"/>
              <w:color w:val="000000"/>
              <w:sz w:val="16"/>
              <w:u w:val="none"/>
            </w:rPr>
            <w:fldChar w:fldCharType="begin"/>
          </w:r>
          <w:r>
            <w:rPr>
              <w:rFonts w:ascii="Arial" w:eastAsia="Arial" w:hAnsi="Arial" w:cs="Arial"/>
              <w:b w:val="0"/>
              <w:i w:val="0"/>
              <w:color w:val="000000"/>
              <w:sz w:val="16"/>
              <w:u w:val="none"/>
            </w:rPr>
            <w:instrText>NUMPAGES</w:instrText>
          </w:r>
          <w:r>
            <w:rPr>
              <w:rFonts w:ascii="Arial" w:eastAsia="Arial" w:hAnsi="Arial" w:cs="Arial"/>
              <w:b w:val="0"/>
              <w:i w:val="0"/>
              <w:color w:val="000000"/>
              <w:sz w:val="16"/>
              <w:u w:val="none"/>
            </w:rPr>
            <w:fldChar w:fldCharType="separate"/>
          </w:r>
          <w:r>
            <w:rPr>
              <w:rFonts w:ascii="Arial" w:eastAsia="Arial" w:hAnsi="Arial" w:cs="Arial"/>
              <w:b w:val="0"/>
              <w:i w:val="0"/>
              <w:color w:val="000000"/>
              <w:sz w:val="16"/>
              <w:u w:val="none"/>
            </w:rPr>
            <w:t>81</w:t>
          </w:r>
          <w:r>
            <w:rPr>
              <w:rFonts w:ascii="Arial" w:eastAsia="Arial" w:hAnsi="Arial" w:cs="Arial"/>
              <w:b w:val="0"/>
              <w:i w:val="0"/>
              <w:color w:val="000000"/>
              <w:sz w:val="16"/>
              <w:u w:val="none"/>
            </w:rPr>
            <w:fldChar w:fldCharType="end"/>
          </w:r>
        </w:p>
      </w:tc>
      <w:tc>
        <w:tcPr>
          <w:tcW w:w="40" w:type="dxa"/>
          <w:shd w:val="clear" w:color="auto" w:fill="FFFFFF"/>
          <w:tcMar>
            <w:top w:w="30" w:type="dxa"/>
            <w:left w:w="40" w:type="dxa"/>
            <w:bottom w:w="30" w:type="dxa"/>
            <w:right w:w="40" w:type="dxa"/>
          </w:tcMar>
          <w:vAlign w:val="center"/>
        </w:tcPr>
        <w:p>
          <w:pPr>
            <w:jc w:val="right"/>
            <w:rPr>
              <w:rFonts w:ascii="Arial" w:eastAsia="Arial" w:hAnsi="Arial" w:cs="Arial"/>
              <w:b w:val="0"/>
              <w:i w:val="0"/>
              <w:color w:val="000000"/>
              <w:sz w:val="16"/>
              <w:u w:val="none"/>
            </w:rPr>
          </w:pP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0"/>
            <w:jc w:val="left"/>
            <w:rPr>
              <w:rStyle w:val="DefaultParagraphFont"/>
            </w:rPr>
          </w:pPr>
        </w:p>
      </w:tc>
      <w:tc>
        <w:tcPr>
          <w:tcW w:w="0" w:type="auto"/>
          <w:shd w:val="clear" w:color="auto" w:fill="FFFFFF"/>
        </w:tcPr>
        <w:p>
          <w:pPr>
            <w:pStyle w:val="Normal0"/>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0"/>
            <w:jc w:val="left"/>
            <w:rPr>
              <w:rStyle w:val="DefaultParagraphFont"/>
            </w:rPr>
          </w:pPr>
        </w:p>
      </w:tc>
      <w:tc>
        <w:tcPr>
          <w:tcW w:w="0" w:type="auto"/>
          <w:shd w:val="clear" w:color="auto" w:fill="FFFFFF"/>
        </w:tcPr>
        <w:p>
          <w:pPr>
            <w:pStyle w:val="Normal0"/>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0"/>
            <w:rPr>
              <w:rStyle w:val="DefaultParagraphFont"/>
            </w:rPr>
          </w:pPr>
        </w:p>
      </w:tc>
      <w:tc>
        <w:tcPr>
          <w:tcW w:w="0" w:type="auto"/>
          <w:shd w:val="clear" w:color="auto" w:fill="FFFFFF"/>
          <w:vAlign w:val="center"/>
        </w:tcPr>
        <w:p>
          <w:pPr>
            <w:pStyle w:val="Normal0"/>
            <w:rPr>
              <w:rStyle w:val="DefaultParagraphFont"/>
            </w:rPr>
          </w:pPr>
          <w:r>
            <w:rPr>
              <w:rStyle w:val="DefaultParagraphFont"/>
              <w:rFonts w:ascii="Verdana" w:eastAsia="Verdana" w:hAnsi="Verdana" w:cs="Verdana"/>
              <w:b/>
              <w:i w:val="0"/>
              <w:color w:val="000000"/>
              <w:sz w:val="26"/>
            </w:rPr>
            <w:t>Bank of America Corporation (NYSE:BAC)</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0"/>
            <w:rPr>
              <w:rStyle w:val="DefaultParagraphFont"/>
              <w:rFonts w:ascii="Verdana" w:eastAsia="Verdana" w:hAnsi="Verdana" w:cs="Verdana"/>
              <w:b/>
              <w:i w:val="0"/>
              <w:color w:val="000000"/>
              <w:sz w:val="26"/>
            </w:rPr>
          </w:pPr>
        </w:p>
      </w:tc>
      <w:tc>
        <w:tcPr>
          <w:tcW w:w="0" w:type="auto"/>
          <w:shd w:val="clear" w:color="auto" w:fill="000000"/>
          <w:vAlign w:val="center"/>
        </w:tcPr>
        <w:p>
          <w:pPr>
            <w:pStyle w:val="Normal0"/>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0"/>
            <w:rPr>
              <w:rStyle w:val="DefaultParagraphFont"/>
              <w:rFonts w:ascii="Verdana" w:eastAsia="Verdana" w:hAnsi="Verdana" w:cs="Verdana"/>
              <w:b/>
              <w:i w:val="0"/>
              <w:color w:val="000000"/>
              <w:sz w:val="26"/>
            </w:rPr>
          </w:pPr>
        </w:p>
      </w:tc>
    </w:tr>
  </w:tbl>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1"/>
            <w:jc w:val="left"/>
            <w:rPr>
              <w:rStyle w:val="DefaultParagraphFont"/>
            </w:rPr>
          </w:pPr>
        </w:p>
      </w:tc>
      <w:tc>
        <w:tcPr>
          <w:tcW w:w="0" w:type="auto"/>
          <w:shd w:val="clear" w:color="auto" w:fill="FFFFFF"/>
        </w:tcPr>
        <w:p>
          <w:pPr>
            <w:pStyle w:val="Normal1"/>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0"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1"/>
            <w:jc w:val="left"/>
            <w:rPr>
              <w:rStyle w:val="DefaultParagraphFont"/>
            </w:rPr>
          </w:pPr>
        </w:p>
      </w:tc>
      <w:tc>
        <w:tcPr>
          <w:tcW w:w="0" w:type="auto"/>
          <w:shd w:val="clear" w:color="auto" w:fill="FFFFFF"/>
        </w:tcPr>
        <w:p>
          <w:pPr>
            <w:pStyle w:val="Normal1"/>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1"/>
            <w:rPr>
              <w:rStyle w:val="DefaultParagraphFont"/>
            </w:rPr>
          </w:pPr>
        </w:p>
      </w:tc>
      <w:tc>
        <w:tcPr>
          <w:tcW w:w="0" w:type="auto"/>
          <w:shd w:val="clear" w:color="auto" w:fill="FFFFFF"/>
          <w:vAlign w:val="center"/>
        </w:tcPr>
        <w:p>
          <w:pPr>
            <w:pStyle w:val="Normal1"/>
            <w:rPr>
              <w:rStyle w:val="DefaultParagraphFont"/>
            </w:rPr>
          </w:pPr>
          <w:r>
            <w:rPr>
              <w:rStyle w:val="DefaultParagraphFont"/>
              <w:rFonts w:ascii="Verdana" w:eastAsia="Verdana" w:hAnsi="Verdana" w:cs="Verdana"/>
              <w:b/>
              <w:i w:val="0"/>
              <w:color w:val="000000"/>
              <w:sz w:val="26"/>
            </w:rPr>
            <w:t>Bank of America Corporation (NYSE:BAC) &gt; Company Information</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1"/>
            <w:rPr>
              <w:rStyle w:val="DefaultParagraphFont"/>
              <w:rFonts w:ascii="Verdana" w:eastAsia="Verdana" w:hAnsi="Verdana" w:cs="Verdana"/>
              <w:b/>
              <w:i w:val="0"/>
              <w:color w:val="000000"/>
              <w:sz w:val="26"/>
            </w:rPr>
          </w:pPr>
        </w:p>
      </w:tc>
      <w:tc>
        <w:tcPr>
          <w:tcW w:w="0" w:type="auto"/>
          <w:shd w:val="clear" w:color="auto" w:fill="000000"/>
          <w:vAlign w:val="center"/>
        </w:tcPr>
        <w:p>
          <w:pPr>
            <w:pStyle w:val="Normal1"/>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1"/>
            <w:rPr>
              <w:rStyle w:val="DefaultParagraphFont"/>
              <w:rFonts w:ascii="Verdana" w:eastAsia="Verdana" w:hAnsi="Verdana" w:cs="Verdana"/>
              <w:b/>
              <w:i w:val="0"/>
              <w:color w:val="000000"/>
              <w:sz w:val="26"/>
            </w:rPr>
          </w:pP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2"/>
            <w:jc w:val="left"/>
            <w:rPr>
              <w:rStyle w:val="DefaultParagraphFont"/>
            </w:rPr>
          </w:pPr>
        </w:p>
      </w:tc>
      <w:tc>
        <w:tcPr>
          <w:tcW w:w="0" w:type="auto"/>
          <w:shd w:val="clear" w:color="auto" w:fill="FFFFFF"/>
        </w:tcPr>
        <w:p>
          <w:pPr>
            <w:pStyle w:val="Normal2"/>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1"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2"/>
            <w:jc w:val="left"/>
            <w:rPr>
              <w:rStyle w:val="DefaultParagraphFont"/>
            </w:rPr>
          </w:pPr>
        </w:p>
      </w:tc>
      <w:tc>
        <w:tcPr>
          <w:tcW w:w="0" w:type="auto"/>
          <w:shd w:val="clear" w:color="auto" w:fill="FFFFFF"/>
        </w:tcPr>
        <w:p>
          <w:pPr>
            <w:pStyle w:val="Normal2"/>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2"/>
            <w:rPr>
              <w:rStyle w:val="DefaultParagraphFont"/>
            </w:rPr>
          </w:pPr>
        </w:p>
      </w:tc>
      <w:tc>
        <w:tcPr>
          <w:tcW w:w="0" w:type="auto"/>
          <w:shd w:val="clear" w:color="auto" w:fill="FFFFFF"/>
          <w:vAlign w:val="center"/>
        </w:tcPr>
        <w:p>
          <w:pPr>
            <w:pStyle w:val="Normal2"/>
            <w:rPr>
              <w:rStyle w:val="DefaultParagraphFont"/>
            </w:rPr>
          </w:pPr>
          <w:r>
            <w:rPr>
              <w:rStyle w:val="DefaultParagraphFont"/>
              <w:rFonts w:ascii="Verdana" w:eastAsia="Verdana" w:hAnsi="Verdana" w:cs="Verdana"/>
              <w:b/>
              <w:i w:val="0"/>
              <w:color w:val="000000"/>
              <w:sz w:val="26"/>
            </w:rPr>
            <w:t>Bank of America Corporation (NYSE:BAC) &gt; Key Executives &amp; Board Members</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2"/>
            <w:rPr>
              <w:rStyle w:val="DefaultParagraphFont"/>
              <w:rFonts w:ascii="Verdana" w:eastAsia="Verdana" w:hAnsi="Verdana" w:cs="Verdana"/>
              <w:b/>
              <w:i w:val="0"/>
              <w:color w:val="000000"/>
              <w:sz w:val="26"/>
            </w:rPr>
          </w:pPr>
        </w:p>
      </w:tc>
      <w:tc>
        <w:tcPr>
          <w:tcW w:w="0" w:type="auto"/>
          <w:shd w:val="clear" w:color="auto" w:fill="000000"/>
          <w:vAlign w:val="center"/>
        </w:tcPr>
        <w:p>
          <w:pPr>
            <w:pStyle w:val="Normal2"/>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2"/>
            <w:rPr>
              <w:rStyle w:val="DefaultParagraphFont"/>
              <w:rFonts w:ascii="Verdana" w:eastAsia="Verdana" w:hAnsi="Verdana" w:cs="Verdana"/>
              <w:b/>
              <w:i w:val="0"/>
              <w:color w:val="000000"/>
              <w:sz w:val="26"/>
            </w:rPr>
          </w:pPr>
        </w:p>
      </w:tc>
    </w:tr>
  </w:tbl>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3"/>
            <w:jc w:val="left"/>
            <w:rPr>
              <w:rStyle w:val="DefaultParagraphFont"/>
            </w:rPr>
          </w:pPr>
        </w:p>
      </w:tc>
      <w:tc>
        <w:tcPr>
          <w:tcW w:w="0" w:type="auto"/>
          <w:shd w:val="clear" w:color="auto" w:fill="FFFFFF"/>
        </w:tcPr>
        <w:p>
          <w:pPr>
            <w:pStyle w:val="Normal3"/>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2"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3"/>
            <w:jc w:val="left"/>
            <w:rPr>
              <w:rStyle w:val="DefaultParagraphFont"/>
            </w:rPr>
          </w:pPr>
        </w:p>
      </w:tc>
      <w:tc>
        <w:tcPr>
          <w:tcW w:w="0" w:type="auto"/>
          <w:shd w:val="clear" w:color="auto" w:fill="FFFFFF"/>
        </w:tcPr>
        <w:p>
          <w:pPr>
            <w:pStyle w:val="Normal3"/>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3"/>
            <w:rPr>
              <w:rStyle w:val="DefaultParagraphFont"/>
            </w:rPr>
          </w:pPr>
        </w:p>
      </w:tc>
      <w:tc>
        <w:tcPr>
          <w:tcW w:w="0" w:type="auto"/>
          <w:shd w:val="clear" w:color="auto" w:fill="FFFFFF"/>
          <w:vAlign w:val="center"/>
        </w:tcPr>
        <w:p>
          <w:pPr>
            <w:pStyle w:val="Normal3"/>
            <w:rPr>
              <w:rStyle w:val="DefaultParagraphFont"/>
            </w:rPr>
          </w:pPr>
          <w:r>
            <w:rPr>
              <w:rStyle w:val="DefaultParagraphFont"/>
              <w:rFonts w:ascii="Verdana" w:eastAsia="Verdana" w:hAnsi="Verdana" w:cs="Verdana"/>
              <w:b/>
              <w:i w:val="0"/>
              <w:color w:val="000000"/>
              <w:sz w:val="26"/>
            </w:rPr>
            <w:t>Bank of America Corporation (NYSE:BAC) &gt; Key Stats</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3"/>
            <w:rPr>
              <w:rStyle w:val="DefaultParagraphFont"/>
              <w:rFonts w:ascii="Verdana" w:eastAsia="Verdana" w:hAnsi="Verdana" w:cs="Verdana"/>
              <w:b/>
              <w:i w:val="0"/>
              <w:color w:val="000000"/>
              <w:sz w:val="26"/>
            </w:rPr>
          </w:pPr>
        </w:p>
      </w:tc>
      <w:tc>
        <w:tcPr>
          <w:tcW w:w="0" w:type="auto"/>
          <w:shd w:val="clear" w:color="auto" w:fill="000000"/>
          <w:vAlign w:val="center"/>
        </w:tcPr>
        <w:p>
          <w:pPr>
            <w:pStyle w:val="Normal3"/>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3"/>
            <w:rPr>
              <w:rStyle w:val="DefaultParagraphFont"/>
              <w:rFonts w:ascii="Verdana" w:eastAsia="Verdana" w:hAnsi="Verdana" w:cs="Verdana"/>
              <w:b/>
              <w:i w:val="0"/>
              <w:color w:val="000000"/>
              <w:sz w:val="26"/>
            </w:rPr>
          </w:pPr>
        </w:p>
      </w:tc>
    </w:tr>
  </w:tbl>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4"/>
            <w:jc w:val="left"/>
            <w:rPr>
              <w:rStyle w:val="DefaultParagraphFont"/>
            </w:rPr>
          </w:pPr>
        </w:p>
      </w:tc>
      <w:tc>
        <w:tcPr>
          <w:tcW w:w="0" w:type="auto"/>
          <w:shd w:val="clear" w:color="auto" w:fill="FFFFFF"/>
        </w:tcPr>
        <w:p>
          <w:pPr>
            <w:pStyle w:val="Normal4"/>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3"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4"/>
            <w:jc w:val="left"/>
            <w:rPr>
              <w:rStyle w:val="DefaultParagraphFont"/>
            </w:rPr>
          </w:pPr>
        </w:p>
      </w:tc>
      <w:tc>
        <w:tcPr>
          <w:tcW w:w="0" w:type="auto"/>
          <w:shd w:val="clear" w:color="auto" w:fill="FFFFFF"/>
        </w:tcPr>
        <w:p>
          <w:pPr>
            <w:pStyle w:val="Normal4"/>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4"/>
            <w:rPr>
              <w:rStyle w:val="DefaultParagraphFont"/>
            </w:rPr>
          </w:pPr>
        </w:p>
      </w:tc>
      <w:tc>
        <w:tcPr>
          <w:tcW w:w="0" w:type="auto"/>
          <w:shd w:val="clear" w:color="auto" w:fill="FFFFFF"/>
          <w:vAlign w:val="center"/>
        </w:tcPr>
        <w:p>
          <w:pPr>
            <w:pStyle w:val="Normal4"/>
            <w:rPr>
              <w:rStyle w:val="DefaultParagraphFont"/>
            </w:rPr>
          </w:pPr>
          <w:r>
            <w:rPr>
              <w:rStyle w:val="DefaultParagraphFont"/>
              <w:rFonts w:ascii="Verdana" w:eastAsia="Verdana" w:hAnsi="Verdana" w:cs="Verdana"/>
              <w:b/>
              <w:i w:val="0"/>
              <w:color w:val="000000"/>
              <w:sz w:val="26"/>
            </w:rPr>
            <w:t>Bank of America Corporation (NYSE:BAC) &gt; Refinitiv Estimates</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4"/>
            <w:rPr>
              <w:rStyle w:val="DefaultParagraphFont"/>
              <w:rFonts w:ascii="Verdana" w:eastAsia="Verdana" w:hAnsi="Verdana" w:cs="Verdana"/>
              <w:b/>
              <w:i w:val="0"/>
              <w:color w:val="000000"/>
              <w:sz w:val="26"/>
            </w:rPr>
          </w:pPr>
        </w:p>
      </w:tc>
      <w:tc>
        <w:tcPr>
          <w:tcW w:w="0" w:type="auto"/>
          <w:shd w:val="clear" w:color="auto" w:fill="000000"/>
          <w:vAlign w:val="center"/>
        </w:tcPr>
        <w:p>
          <w:pPr>
            <w:pStyle w:val="Normal4"/>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4"/>
            <w:rPr>
              <w:rStyle w:val="DefaultParagraphFont"/>
              <w:rFonts w:ascii="Verdana" w:eastAsia="Verdana" w:hAnsi="Verdana" w:cs="Verdana"/>
              <w:b/>
              <w:i w:val="0"/>
              <w:color w:val="000000"/>
              <w:sz w:val="26"/>
            </w:rPr>
          </w:pP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5"/>
            <w:jc w:val="left"/>
            <w:rPr>
              <w:rStyle w:val="DefaultParagraphFont"/>
            </w:rPr>
          </w:pPr>
        </w:p>
      </w:tc>
      <w:tc>
        <w:tcPr>
          <w:tcW w:w="0" w:type="auto"/>
          <w:shd w:val="clear" w:color="auto" w:fill="FFFFFF"/>
        </w:tcPr>
        <w:p>
          <w:pPr>
            <w:pStyle w:val="Normal5"/>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4"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5"/>
            <w:jc w:val="left"/>
            <w:rPr>
              <w:rStyle w:val="DefaultParagraphFont"/>
            </w:rPr>
          </w:pPr>
        </w:p>
      </w:tc>
      <w:tc>
        <w:tcPr>
          <w:tcW w:w="0" w:type="auto"/>
          <w:shd w:val="clear" w:color="auto" w:fill="FFFFFF"/>
        </w:tcPr>
        <w:p>
          <w:pPr>
            <w:pStyle w:val="Normal5"/>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5"/>
            <w:rPr>
              <w:rStyle w:val="DefaultParagraphFont"/>
            </w:rPr>
          </w:pPr>
        </w:p>
      </w:tc>
      <w:tc>
        <w:tcPr>
          <w:tcW w:w="0" w:type="auto"/>
          <w:shd w:val="clear" w:color="auto" w:fill="FFFFFF"/>
          <w:vAlign w:val="center"/>
        </w:tcPr>
        <w:p>
          <w:pPr>
            <w:pStyle w:val="Normal5"/>
            <w:rPr>
              <w:rStyle w:val="DefaultParagraphFont"/>
            </w:rPr>
          </w:pPr>
          <w:r>
            <w:rPr>
              <w:rStyle w:val="DefaultParagraphFont"/>
              <w:rFonts w:ascii="Verdana" w:eastAsia="Verdana" w:hAnsi="Verdana" w:cs="Verdana"/>
              <w:b/>
              <w:i w:val="0"/>
              <w:color w:val="000000"/>
              <w:sz w:val="26"/>
            </w:rPr>
            <w:t>Bank of America Corporation (NYSE:BAC) &gt; Charts</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5"/>
            <w:rPr>
              <w:rStyle w:val="DefaultParagraphFont"/>
              <w:rFonts w:ascii="Verdana" w:eastAsia="Verdana" w:hAnsi="Verdana" w:cs="Verdana"/>
              <w:b/>
              <w:i w:val="0"/>
              <w:color w:val="000000"/>
              <w:sz w:val="26"/>
            </w:rPr>
          </w:pPr>
        </w:p>
      </w:tc>
      <w:tc>
        <w:tcPr>
          <w:tcW w:w="0" w:type="auto"/>
          <w:shd w:val="clear" w:color="auto" w:fill="000000"/>
          <w:vAlign w:val="center"/>
        </w:tcPr>
        <w:p>
          <w:pPr>
            <w:pStyle w:val="Normal5"/>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5"/>
            <w:rPr>
              <w:rStyle w:val="DefaultParagraphFont"/>
              <w:rFonts w:ascii="Verdana" w:eastAsia="Verdana" w:hAnsi="Verdana" w:cs="Verdana"/>
              <w:b/>
              <w:i w:val="0"/>
              <w:color w:val="000000"/>
              <w:sz w:val="26"/>
            </w:rPr>
          </w:pPr>
        </w:p>
      </w:tc>
    </w:tr>
  </w:tbl>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6"/>
            <w:jc w:val="left"/>
            <w:rPr>
              <w:rStyle w:val="DefaultParagraphFont"/>
            </w:rPr>
          </w:pPr>
        </w:p>
      </w:tc>
      <w:tc>
        <w:tcPr>
          <w:tcW w:w="0" w:type="auto"/>
          <w:shd w:val="clear" w:color="auto" w:fill="FFFFFF"/>
        </w:tcPr>
        <w:p>
          <w:pPr>
            <w:pStyle w:val="Normal6"/>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5"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6"/>
            <w:jc w:val="left"/>
            <w:rPr>
              <w:rStyle w:val="DefaultParagraphFont"/>
            </w:rPr>
          </w:pPr>
        </w:p>
      </w:tc>
      <w:tc>
        <w:tcPr>
          <w:tcW w:w="0" w:type="auto"/>
          <w:shd w:val="clear" w:color="auto" w:fill="FFFFFF"/>
        </w:tcPr>
        <w:p>
          <w:pPr>
            <w:pStyle w:val="Normal6"/>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6"/>
            <w:rPr>
              <w:rStyle w:val="DefaultParagraphFont"/>
            </w:rPr>
          </w:pPr>
        </w:p>
      </w:tc>
      <w:tc>
        <w:tcPr>
          <w:tcW w:w="0" w:type="auto"/>
          <w:shd w:val="clear" w:color="auto" w:fill="FFFFFF"/>
          <w:vAlign w:val="center"/>
        </w:tcPr>
        <w:p>
          <w:pPr>
            <w:pStyle w:val="Normal6"/>
            <w:rPr>
              <w:rStyle w:val="DefaultParagraphFont"/>
            </w:rPr>
          </w:pPr>
          <w:r>
            <w:rPr>
              <w:rStyle w:val="DefaultParagraphFont"/>
              <w:rFonts w:ascii="Verdana" w:eastAsia="Verdana" w:hAnsi="Verdana" w:cs="Verdana"/>
              <w:b/>
              <w:i w:val="0"/>
              <w:color w:val="000000"/>
              <w:sz w:val="26"/>
            </w:rPr>
            <w:t>Bank of America Corporation (NYSE:BAC) &gt; Transactions</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6"/>
            <w:rPr>
              <w:rStyle w:val="DefaultParagraphFont"/>
              <w:rFonts w:ascii="Verdana" w:eastAsia="Verdana" w:hAnsi="Verdana" w:cs="Verdana"/>
              <w:b/>
              <w:i w:val="0"/>
              <w:color w:val="000000"/>
              <w:sz w:val="26"/>
            </w:rPr>
          </w:pPr>
        </w:p>
      </w:tc>
      <w:tc>
        <w:tcPr>
          <w:tcW w:w="0" w:type="auto"/>
          <w:shd w:val="clear" w:color="auto" w:fill="000000"/>
          <w:vAlign w:val="center"/>
        </w:tcPr>
        <w:p>
          <w:pPr>
            <w:pStyle w:val="Normal6"/>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6"/>
            <w:rPr>
              <w:rStyle w:val="DefaultParagraphFont"/>
              <w:rFonts w:ascii="Verdana" w:eastAsia="Verdana" w:hAnsi="Verdana" w:cs="Verdana"/>
              <w:b/>
              <w:i w:val="0"/>
              <w:color w:val="000000"/>
              <w:sz w:val="26"/>
            </w:rPr>
          </w:pPr>
        </w:p>
      </w:tc>
    </w:tr>
  </w:tbl>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7"/>
            <w:jc w:val="left"/>
            <w:rPr>
              <w:rStyle w:val="DefaultParagraphFont"/>
            </w:rPr>
          </w:pPr>
        </w:p>
      </w:tc>
      <w:tc>
        <w:tcPr>
          <w:tcW w:w="0" w:type="auto"/>
          <w:shd w:val="clear" w:color="auto" w:fill="FFFFFF"/>
        </w:tcPr>
        <w:p>
          <w:pPr>
            <w:pStyle w:val="Normal7"/>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6"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7"/>
            <w:jc w:val="left"/>
            <w:rPr>
              <w:rStyle w:val="DefaultParagraphFont"/>
            </w:rPr>
          </w:pPr>
        </w:p>
      </w:tc>
      <w:tc>
        <w:tcPr>
          <w:tcW w:w="0" w:type="auto"/>
          <w:shd w:val="clear" w:color="auto" w:fill="FFFFFF"/>
        </w:tcPr>
        <w:p>
          <w:pPr>
            <w:pStyle w:val="Normal7"/>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7"/>
            <w:rPr>
              <w:rStyle w:val="DefaultParagraphFont"/>
            </w:rPr>
          </w:pPr>
        </w:p>
      </w:tc>
      <w:tc>
        <w:tcPr>
          <w:tcW w:w="0" w:type="auto"/>
          <w:shd w:val="clear" w:color="auto" w:fill="FFFFFF"/>
          <w:vAlign w:val="center"/>
        </w:tcPr>
        <w:p>
          <w:pPr>
            <w:pStyle w:val="Normal7"/>
            <w:rPr>
              <w:rStyle w:val="DefaultParagraphFont"/>
            </w:rPr>
          </w:pPr>
          <w:r>
            <w:rPr>
              <w:rStyle w:val="DefaultParagraphFont"/>
              <w:rFonts w:ascii="Verdana" w:eastAsia="Verdana" w:hAnsi="Verdana" w:cs="Verdana"/>
              <w:b/>
              <w:i w:val="0"/>
              <w:color w:val="000000"/>
              <w:sz w:val="26"/>
            </w:rPr>
            <w:t>Bank of America Corporation (NYSE:BAC) &gt; News</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7"/>
            <w:rPr>
              <w:rStyle w:val="DefaultParagraphFont"/>
              <w:rFonts w:ascii="Verdana" w:eastAsia="Verdana" w:hAnsi="Verdana" w:cs="Verdana"/>
              <w:b/>
              <w:i w:val="0"/>
              <w:color w:val="000000"/>
              <w:sz w:val="26"/>
            </w:rPr>
          </w:pPr>
        </w:p>
      </w:tc>
      <w:tc>
        <w:tcPr>
          <w:tcW w:w="0" w:type="auto"/>
          <w:shd w:val="clear" w:color="auto" w:fill="000000"/>
          <w:vAlign w:val="center"/>
        </w:tcPr>
        <w:p>
          <w:pPr>
            <w:pStyle w:val="Normal7"/>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7"/>
            <w:rPr>
              <w:rStyle w:val="DefaultParagraphFont"/>
              <w:rFonts w:ascii="Verdana" w:eastAsia="Verdana" w:hAnsi="Verdana" w:cs="Verdana"/>
              <w:b/>
              <w:i w:val="0"/>
              <w:color w:val="000000"/>
              <w:sz w:val="26"/>
            </w:rPr>
          </w:pP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8"/>
            <w:jc w:val="left"/>
            <w:rPr>
              <w:rStyle w:val="DefaultParagraphFont"/>
            </w:rPr>
          </w:pPr>
        </w:p>
      </w:tc>
      <w:tc>
        <w:tcPr>
          <w:tcW w:w="0" w:type="auto"/>
          <w:shd w:val="clear" w:color="auto" w:fill="FFFFFF"/>
        </w:tcPr>
        <w:p>
          <w:pPr>
            <w:pStyle w:val="Normal8"/>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7"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8"/>
            <w:jc w:val="left"/>
            <w:rPr>
              <w:rStyle w:val="DefaultParagraphFont"/>
            </w:rPr>
          </w:pPr>
        </w:p>
      </w:tc>
      <w:tc>
        <w:tcPr>
          <w:tcW w:w="0" w:type="auto"/>
          <w:shd w:val="clear" w:color="auto" w:fill="FFFFFF"/>
        </w:tcPr>
        <w:p>
          <w:pPr>
            <w:pStyle w:val="Normal8"/>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8"/>
            <w:rPr>
              <w:rStyle w:val="DefaultParagraphFont"/>
            </w:rPr>
          </w:pPr>
        </w:p>
      </w:tc>
      <w:tc>
        <w:tcPr>
          <w:tcW w:w="0" w:type="auto"/>
          <w:shd w:val="clear" w:color="auto" w:fill="FFFFFF"/>
          <w:vAlign w:val="center"/>
        </w:tcPr>
        <w:p>
          <w:pPr>
            <w:pStyle w:val="Normal8"/>
            <w:rPr>
              <w:rStyle w:val="DefaultParagraphFont"/>
            </w:rPr>
          </w:pPr>
          <w:r>
            <w:rPr>
              <w:rStyle w:val="DefaultParagraphFont"/>
              <w:rFonts w:ascii="Verdana" w:eastAsia="Verdana" w:hAnsi="Verdana" w:cs="Verdana"/>
              <w:b/>
              <w:i w:val="0"/>
              <w:color w:val="000000"/>
              <w:sz w:val="26"/>
            </w:rPr>
            <w:t>Bank of America Corporation (NYSE:BAC) &gt; Direct Investments &amp; Subsidiaries</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8"/>
            <w:rPr>
              <w:rStyle w:val="DefaultParagraphFont"/>
              <w:rFonts w:ascii="Verdana" w:eastAsia="Verdana" w:hAnsi="Verdana" w:cs="Verdana"/>
              <w:b/>
              <w:i w:val="0"/>
              <w:color w:val="000000"/>
              <w:sz w:val="26"/>
            </w:rPr>
          </w:pPr>
        </w:p>
      </w:tc>
      <w:tc>
        <w:tcPr>
          <w:tcW w:w="0" w:type="auto"/>
          <w:shd w:val="clear" w:color="auto" w:fill="000000"/>
          <w:vAlign w:val="center"/>
        </w:tcPr>
        <w:p>
          <w:pPr>
            <w:pStyle w:val="Normal8"/>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8"/>
            <w:rPr>
              <w:rStyle w:val="DefaultParagraphFont"/>
              <w:rFonts w:ascii="Verdana" w:eastAsia="Verdana" w:hAnsi="Verdana" w:cs="Verdana"/>
              <w:b/>
              <w:i w:val="0"/>
              <w:color w:val="000000"/>
              <w:sz w:val="26"/>
            </w:rPr>
          </w:pP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lvlJc w:val="left"/>
      <w:pPr>
        <w:tabs>
          <w:tab w:val="num" w:pos="720"/>
        </w:tabs>
        <w:ind w:left="720" w:hanging="360"/>
      </w:pPr>
      <w:rPr>
        <w:b/>
      </w:rPr>
    </w:lvl>
    <w:lvl w:ilvl="1">
      <w:start w:val="1"/>
      <w:numFmt w:val="none"/>
      <w:lvlJc w:val="left"/>
      <w:pPr>
        <w:tabs>
          <w:tab w:val="num" w:pos="1440"/>
        </w:tabs>
        <w:ind w:left="1440" w:hanging="360"/>
      </w:pPr>
      <w:rPr>
        <w:b w:val="0"/>
      </w:rPr>
    </w:lvl>
    <w:lvl w:ilvl="2">
      <w:start w:val="1"/>
      <w:numFmt w:val="none"/>
      <w:lvlJc w:val="right"/>
      <w:pPr>
        <w:tabs>
          <w:tab w:val="num" w:pos="2160"/>
        </w:tabs>
        <w:ind w:left="2160" w:hanging="180"/>
      </w:pPr>
      <w:rPr>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rPr>
  </w:style>
  <w:style w:type="paragraph" w:customStyle="1" w:styleId="Normal1">
    <w:name w:val="Normal_1"/>
    <w:qFormat/>
    <w:rPr>
      <w:sz w:val="24"/>
      <w:szCs w:val="24"/>
    </w:rPr>
  </w:style>
  <w:style w:type="paragraph" w:customStyle="1" w:styleId="Normal2">
    <w:name w:val="Normal_2"/>
    <w:qFormat/>
    <w:rPr>
      <w:sz w:val="24"/>
      <w:szCs w:val="24"/>
    </w:rPr>
  </w:style>
  <w:style w:type="paragraph" w:customStyle="1" w:styleId="Normal3">
    <w:name w:val="Normal_3"/>
    <w:qFormat/>
    <w:rPr>
      <w:sz w:val="24"/>
      <w:szCs w:val="24"/>
    </w:rPr>
  </w:style>
  <w:style w:type="paragraph" w:customStyle="1" w:styleId="Normal4">
    <w:name w:val="Normal_4"/>
    <w:qFormat/>
    <w:rPr>
      <w:sz w:val="24"/>
      <w:szCs w:val="24"/>
    </w:rPr>
  </w:style>
  <w:style w:type="paragraph" w:customStyle="1" w:styleId="Normal5">
    <w:name w:val="Normal_5"/>
    <w:qFormat/>
    <w:rPr>
      <w:sz w:val="24"/>
      <w:szCs w:val="24"/>
    </w:rPr>
  </w:style>
  <w:style w:type="paragraph" w:customStyle="1" w:styleId="Normal6">
    <w:name w:val="Normal_6"/>
    <w:qFormat/>
    <w:rPr>
      <w:sz w:val="24"/>
      <w:szCs w:val="24"/>
    </w:rPr>
  </w:style>
  <w:style w:type="paragraph" w:customStyle="1" w:styleId="Normal7">
    <w:name w:val="Normal_7"/>
    <w:qFormat/>
    <w:rPr>
      <w:sz w:val="24"/>
      <w:szCs w:val="24"/>
    </w:rPr>
  </w:style>
  <w:style w:type="paragraph" w:customStyle="1" w:styleId="Normal8">
    <w:name w:val="Normal_8"/>
    <w:qFormat/>
    <w:rPr>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header" Target="header6.xml" /><Relationship Id="rId13" Type="http://schemas.openxmlformats.org/officeDocument/2006/relationships/header" Target="header7.xml" /><Relationship Id="rId14" Type="http://schemas.openxmlformats.org/officeDocument/2006/relationships/header" Target="header8.xml" /><Relationship Id="rId15" Type="http://schemas.openxmlformats.org/officeDocument/2006/relationships/header" Target="header9.xml" /><Relationship Id="rId16" Type="http://schemas.openxmlformats.org/officeDocument/2006/relationships/image" Target="media/image4.png" /><Relationship Id="rId17" Type="http://schemas.openxmlformats.org/officeDocument/2006/relationships/image" Target="media/image5.png" /><Relationship Id="rId18" Type="http://schemas.openxmlformats.org/officeDocument/2006/relationships/image" Target="media/image6.png"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header" Target="header3.xml" /><Relationship Id="rId8" Type="http://schemas.openxmlformats.org/officeDocument/2006/relationships/header" Target="header4.xml" /><Relationship Id="rId9" Type="http://schemas.openxmlformats.org/officeDocument/2006/relationships/header" Target="header5.xml"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s>
</file>

<file path=word/_rels/header2.xml.rels>&#65279;<?xml version="1.0" encoding="utf-8" standalone="yes"?><Relationships xmlns="http://schemas.openxmlformats.org/package/2006/relationships"><Relationship Id="rId1" Type="http://schemas.openxmlformats.org/officeDocument/2006/relationships/image" Target="media/image1.png" /></Relationships>
</file>

<file path=word/_rels/header3.xml.rels>&#65279;<?xml version="1.0" encoding="utf-8" standalone="yes"?><Relationships xmlns="http://schemas.openxmlformats.org/package/2006/relationships"><Relationship Id="rId1" Type="http://schemas.openxmlformats.org/officeDocument/2006/relationships/image" Target="media/image1.png" /></Relationships>
</file>

<file path=word/_rels/header4.xml.rels>&#65279;<?xml version="1.0" encoding="utf-8" standalone="yes"?><Relationships xmlns="http://schemas.openxmlformats.org/package/2006/relationships"><Relationship Id="rId1" Type="http://schemas.openxmlformats.org/officeDocument/2006/relationships/image" Target="media/image1.png" /></Relationships>
</file>

<file path=word/_rels/header5.xml.rels>&#65279;<?xml version="1.0" encoding="utf-8" standalone="yes"?><Relationships xmlns="http://schemas.openxmlformats.org/package/2006/relationships"><Relationship Id="rId1" Type="http://schemas.openxmlformats.org/officeDocument/2006/relationships/image" Target="media/image1.png" /></Relationships>
</file>

<file path=word/_rels/header6.xml.rels>&#65279;<?xml version="1.0" encoding="utf-8" standalone="yes"?><Relationships xmlns="http://schemas.openxmlformats.org/package/2006/relationships"><Relationship Id="rId1" Type="http://schemas.openxmlformats.org/officeDocument/2006/relationships/image" Target="media/image1.png" /></Relationships>
</file>

<file path=word/_rels/header7.xml.rels>&#65279;<?xml version="1.0" encoding="utf-8" standalone="yes"?><Relationships xmlns="http://schemas.openxmlformats.org/package/2006/relationships"><Relationship Id="rId1" Type="http://schemas.openxmlformats.org/officeDocument/2006/relationships/image" Target="media/image1.png" /></Relationships>
</file>

<file path=word/_rels/header8.xml.rels>&#65279;<?xml version="1.0" encoding="utf-8" standalone="yes"?><Relationships xmlns="http://schemas.openxmlformats.org/package/2006/relationships"><Relationship Id="rId1" Type="http://schemas.openxmlformats.org/officeDocument/2006/relationships/image" Target="media/image1.png" /></Relationships>
</file>

<file path=word/_rels/header9.xml.rels>&#65279;<?xml version="1.0" encoding="utf-8" standalone="yes"?><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Normal.dot</Template>
  <TotalTime>0</TotalTime>
  <Pages>81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