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35" w:rsidRDefault="001D6632" w:rsidP="00D02C0A">
      <w:pPr>
        <w:pStyle w:val="Prrafodelista"/>
        <w:numPr>
          <w:ilvl w:val="0"/>
          <w:numId w:val="2"/>
        </w:numPr>
        <w:jc w:val="both"/>
        <w:rPr>
          <w:rFonts w:ascii="Century" w:eastAsia="BatangChe" w:hAnsi="Century"/>
          <w:sz w:val="24"/>
          <w:szCs w:val="24"/>
        </w:rPr>
      </w:pPr>
      <w:r w:rsidRPr="00D02C0A">
        <w:rPr>
          <w:rFonts w:ascii="Century" w:eastAsia="BatangChe" w:hAnsi="Century"/>
          <w:sz w:val="24"/>
          <w:szCs w:val="24"/>
        </w:rPr>
        <w:t>Para todo</w:t>
      </w:r>
      <w:bookmarkStart w:id="0" w:name="_GoBack"/>
      <w:bookmarkEnd w:id="0"/>
      <w:r w:rsidRPr="00D02C0A">
        <w:rPr>
          <w:rFonts w:ascii="Century" w:eastAsia="BatangChe" w:hAnsi="Century"/>
          <w:sz w:val="24"/>
          <w:szCs w:val="24"/>
        </w:rPr>
        <w:t xml:space="preserve"> los expedientes de siniestro que se entreguen después de los 6 meses, tendrán que hacer una carta aclaratoria informando el motivo por el cual se entrega hasta después, por lo que se anexara el oficio que me </w:t>
      </w:r>
      <w:r w:rsidR="004470BD" w:rsidRPr="00D02C0A">
        <w:rPr>
          <w:rFonts w:ascii="Century" w:eastAsia="BatangChe" w:hAnsi="Century"/>
          <w:sz w:val="24"/>
          <w:szCs w:val="24"/>
        </w:rPr>
        <w:t>envió</w:t>
      </w:r>
      <w:r w:rsidRPr="00D02C0A">
        <w:rPr>
          <w:rFonts w:ascii="Century" w:eastAsia="BatangChe" w:hAnsi="Century"/>
          <w:sz w:val="24"/>
          <w:szCs w:val="24"/>
        </w:rPr>
        <w:t xml:space="preserve"> </w:t>
      </w:r>
      <w:r w:rsidR="004470BD" w:rsidRPr="00D02C0A">
        <w:rPr>
          <w:rFonts w:ascii="Century" w:eastAsia="BatangChe" w:hAnsi="Century"/>
          <w:sz w:val="24"/>
          <w:szCs w:val="24"/>
        </w:rPr>
        <w:t>Ángel</w:t>
      </w:r>
      <w:r w:rsidRPr="00D02C0A">
        <w:rPr>
          <w:rFonts w:ascii="Century" w:eastAsia="BatangChe" w:hAnsi="Century"/>
          <w:sz w:val="24"/>
          <w:szCs w:val="24"/>
        </w:rPr>
        <w:t xml:space="preserve"> de la Delegación Salamanca, nada </w:t>
      </w:r>
      <w:r w:rsidR="00D02C0A" w:rsidRPr="00D02C0A">
        <w:rPr>
          <w:rFonts w:ascii="Century" w:eastAsia="BatangChe" w:hAnsi="Century"/>
          <w:sz w:val="24"/>
          <w:szCs w:val="24"/>
        </w:rPr>
        <w:t>más</w:t>
      </w:r>
      <w:r w:rsidRPr="00D02C0A">
        <w:rPr>
          <w:rFonts w:ascii="Century" w:eastAsia="BatangChe" w:hAnsi="Century"/>
          <w:sz w:val="24"/>
          <w:szCs w:val="24"/>
        </w:rPr>
        <w:t xml:space="preserve"> cambiar datos sin modificar y dar justificación.</w:t>
      </w:r>
    </w:p>
    <w:p w:rsidR="001D6632" w:rsidRDefault="001D6632" w:rsidP="00D02C0A">
      <w:pPr>
        <w:pStyle w:val="Prrafodelista"/>
        <w:numPr>
          <w:ilvl w:val="0"/>
          <w:numId w:val="2"/>
        </w:numPr>
        <w:jc w:val="both"/>
        <w:rPr>
          <w:rFonts w:ascii="Century" w:eastAsia="BatangChe" w:hAnsi="Century"/>
          <w:sz w:val="24"/>
          <w:szCs w:val="24"/>
        </w:rPr>
      </w:pPr>
      <w:r w:rsidRPr="00D02C0A">
        <w:rPr>
          <w:rFonts w:ascii="Century" w:eastAsia="BatangChe" w:hAnsi="Century"/>
          <w:sz w:val="24"/>
          <w:szCs w:val="24"/>
        </w:rPr>
        <w:t>Los bienes que tienen fecha después del siniestro, se debe de anexar un oficio de motivo por el cual se registraron hasta esa fecha, después del siniestro.</w:t>
      </w:r>
    </w:p>
    <w:p w:rsidR="001D6632" w:rsidRDefault="001D6632" w:rsidP="00D02C0A">
      <w:pPr>
        <w:pStyle w:val="Prrafodelista"/>
        <w:numPr>
          <w:ilvl w:val="0"/>
          <w:numId w:val="2"/>
        </w:numPr>
        <w:jc w:val="both"/>
        <w:rPr>
          <w:rFonts w:ascii="Century" w:eastAsia="BatangChe" w:hAnsi="Century"/>
          <w:sz w:val="24"/>
          <w:szCs w:val="24"/>
        </w:rPr>
      </w:pPr>
      <w:r w:rsidRPr="00D02C0A">
        <w:rPr>
          <w:rFonts w:ascii="Century" w:eastAsia="BatangChe" w:hAnsi="Century"/>
          <w:sz w:val="24"/>
          <w:szCs w:val="24"/>
        </w:rPr>
        <w:t>Los bienes que tienen la fecha de captura en SINA antes del siniestro están bien.</w:t>
      </w:r>
    </w:p>
    <w:p w:rsidR="001D6632" w:rsidRDefault="001D6632" w:rsidP="00D02C0A">
      <w:pPr>
        <w:pStyle w:val="Prrafodelista"/>
        <w:numPr>
          <w:ilvl w:val="0"/>
          <w:numId w:val="2"/>
        </w:numPr>
        <w:jc w:val="both"/>
        <w:rPr>
          <w:rFonts w:ascii="Century" w:eastAsia="BatangChe" w:hAnsi="Century"/>
          <w:sz w:val="24"/>
          <w:szCs w:val="24"/>
        </w:rPr>
      </w:pPr>
      <w:r w:rsidRPr="00D02C0A">
        <w:rPr>
          <w:rFonts w:ascii="Century" w:eastAsia="BatangChe" w:hAnsi="Century"/>
          <w:sz w:val="24"/>
          <w:szCs w:val="24"/>
        </w:rPr>
        <w:t>Todos los bienes sustraídos que se mencionen en dicha acta, deberán de aparecer con la descripción tal y como  aparece en SINA con su serie  si la tiene o en su caso de que no</w:t>
      </w:r>
      <w:r w:rsidR="00D02C0A" w:rsidRPr="00D02C0A">
        <w:rPr>
          <w:rFonts w:ascii="Century" w:eastAsia="BatangChe" w:hAnsi="Century"/>
          <w:sz w:val="24"/>
          <w:szCs w:val="24"/>
        </w:rPr>
        <w:t>,</w:t>
      </w:r>
      <w:r w:rsidRPr="00D02C0A">
        <w:rPr>
          <w:rFonts w:ascii="Century" w:eastAsia="BatangChe" w:hAnsi="Century"/>
          <w:sz w:val="24"/>
          <w:szCs w:val="24"/>
        </w:rPr>
        <w:t xml:space="preserve"> tendrá que mencionarse  su </w:t>
      </w:r>
      <w:r w:rsidR="004470BD" w:rsidRPr="00D02C0A">
        <w:rPr>
          <w:rFonts w:ascii="Century" w:eastAsia="BatangChe" w:hAnsi="Century"/>
          <w:sz w:val="24"/>
          <w:szCs w:val="24"/>
        </w:rPr>
        <w:t>número</w:t>
      </w:r>
      <w:r w:rsidRPr="00D02C0A">
        <w:rPr>
          <w:rFonts w:ascii="Century" w:eastAsia="BatangChe" w:hAnsi="Century"/>
          <w:sz w:val="24"/>
          <w:szCs w:val="24"/>
        </w:rPr>
        <w:t xml:space="preserve"> de inventario ya que esto es lo que diferencia un bien de otro.</w:t>
      </w:r>
    </w:p>
    <w:p w:rsidR="001D6632" w:rsidRDefault="001D6632" w:rsidP="00D02C0A">
      <w:pPr>
        <w:pStyle w:val="Prrafodelista"/>
        <w:numPr>
          <w:ilvl w:val="0"/>
          <w:numId w:val="2"/>
        </w:numPr>
        <w:jc w:val="both"/>
        <w:rPr>
          <w:rFonts w:ascii="Century" w:eastAsia="BatangChe" w:hAnsi="Century"/>
          <w:sz w:val="24"/>
          <w:szCs w:val="24"/>
        </w:rPr>
      </w:pPr>
      <w:r w:rsidRPr="00D02C0A">
        <w:rPr>
          <w:rFonts w:ascii="Century" w:eastAsia="BatangChe" w:hAnsi="Century"/>
          <w:sz w:val="24"/>
          <w:szCs w:val="24"/>
        </w:rPr>
        <w:t xml:space="preserve">En  caso de que ya se haya solicitado una </w:t>
      </w:r>
      <w:r w:rsidR="00D02C0A" w:rsidRPr="00D02C0A">
        <w:rPr>
          <w:rFonts w:ascii="Century" w:eastAsia="BatangChe" w:hAnsi="Century"/>
          <w:sz w:val="24"/>
          <w:szCs w:val="24"/>
        </w:rPr>
        <w:t>ampliación</w:t>
      </w:r>
      <w:r w:rsidRPr="00D02C0A">
        <w:rPr>
          <w:rFonts w:ascii="Century" w:eastAsia="BatangChe" w:hAnsi="Century"/>
          <w:sz w:val="24"/>
          <w:szCs w:val="24"/>
        </w:rPr>
        <w:t xml:space="preserve"> de la declaración y todavía existan algunas irregularidades en el Acta del  M.P. </w:t>
      </w:r>
      <w:r w:rsidR="004470BD" w:rsidRPr="00D02C0A">
        <w:rPr>
          <w:rFonts w:ascii="Century" w:eastAsia="BatangChe" w:hAnsi="Century"/>
          <w:sz w:val="24"/>
          <w:szCs w:val="24"/>
        </w:rPr>
        <w:t xml:space="preserve">y se tenga </w:t>
      </w:r>
      <w:r w:rsidR="00D02C0A" w:rsidRPr="00D02C0A">
        <w:rPr>
          <w:rFonts w:ascii="Century" w:eastAsia="BatangChe" w:hAnsi="Century"/>
          <w:sz w:val="24"/>
          <w:szCs w:val="24"/>
        </w:rPr>
        <w:t>algún</w:t>
      </w:r>
      <w:r w:rsidR="004470BD" w:rsidRPr="00D02C0A">
        <w:rPr>
          <w:rFonts w:ascii="Century" w:eastAsia="BatangChe" w:hAnsi="Century"/>
          <w:sz w:val="24"/>
          <w:szCs w:val="24"/>
        </w:rPr>
        <w:t xml:space="preserve"> problema para volver acudir a solicitar </w:t>
      </w:r>
      <w:r w:rsidR="00D02C0A" w:rsidRPr="00D02C0A">
        <w:rPr>
          <w:rFonts w:ascii="Century" w:eastAsia="BatangChe" w:hAnsi="Century"/>
          <w:sz w:val="24"/>
          <w:szCs w:val="24"/>
        </w:rPr>
        <w:t>corrección</w:t>
      </w:r>
      <w:r w:rsidR="004470BD" w:rsidRPr="00D02C0A">
        <w:rPr>
          <w:rFonts w:ascii="Century" w:eastAsia="BatangChe" w:hAnsi="Century"/>
          <w:sz w:val="24"/>
          <w:szCs w:val="24"/>
        </w:rPr>
        <w:t xml:space="preserve"> de estos bienes y no se los quieran cambien en el M.P., tendrán que acudir al área </w:t>
      </w:r>
      <w:r w:rsidR="00D02C0A" w:rsidRPr="00D02C0A">
        <w:rPr>
          <w:rFonts w:ascii="Century" w:eastAsia="BatangChe" w:hAnsi="Century"/>
          <w:sz w:val="24"/>
          <w:szCs w:val="24"/>
        </w:rPr>
        <w:t>Jurídica</w:t>
      </w:r>
      <w:r w:rsidR="004470BD" w:rsidRPr="00D02C0A">
        <w:rPr>
          <w:rFonts w:ascii="Century" w:eastAsia="BatangChe" w:hAnsi="Century"/>
          <w:sz w:val="24"/>
          <w:szCs w:val="24"/>
        </w:rPr>
        <w:t xml:space="preserve"> </w:t>
      </w:r>
      <w:r w:rsidR="00D02C0A" w:rsidRPr="00D02C0A">
        <w:rPr>
          <w:rFonts w:ascii="Century" w:eastAsia="BatangChe" w:hAnsi="Century"/>
          <w:sz w:val="24"/>
          <w:szCs w:val="24"/>
        </w:rPr>
        <w:t xml:space="preserve">a la Delegación </w:t>
      </w:r>
      <w:r w:rsidR="004470BD" w:rsidRPr="00D02C0A">
        <w:rPr>
          <w:rFonts w:ascii="Century" w:eastAsia="BatangChe" w:hAnsi="Century"/>
          <w:sz w:val="24"/>
          <w:szCs w:val="24"/>
        </w:rPr>
        <w:t>para que se solicite el apoyo.</w:t>
      </w:r>
    </w:p>
    <w:p w:rsidR="001D6632" w:rsidRDefault="004470BD" w:rsidP="00D02C0A">
      <w:pPr>
        <w:pStyle w:val="Prrafodelista"/>
        <w:numPr>
          <w:ilvl w:val="0"/>
          <w:numId w:val="2"/>
        </w:numPr>
        <w:jc w:val="both"/>
        <w:rPr>
          <w:rFonts w:ascii="Century" w:eastAsia="BatangChe" w:hAnsi="Century"/>
          <w:sz w:val="24"/>
          <w:szCs w:val="24"/>
        </w:rPr>
      </w:pPr>
      <w:r w:rsidRPr="00D02C0A">
        <w:rPr>
          <w:rFonts w:ascii="Century" w:eastAsia="BatangChe" w:hAnsi="Century"/>
          <w:sz w:val="24"/>
          <w:szCs w:val="24"/>
        </w:rPr>
        <w:t xml:space="preserve">La aseguradora ya no recibe en el expediente cartas aclaratorias para </w:t>
      </w:r>
      <w:r w:rsidR="00D02C0A" w:rsidRPr="00D02C0A">
        <w:rPr>
          <w:rFonts w:ascii="Century" w:eastAsia="BatangChe" w:hAnsi="Century"/>
          <w:sz w:val="24"/>
          <w:szCs w:val="24"/>
        </w:rPr>
        <w:t>corrección</w:t>
      </w:r>
      <w:r w:rsidRPr="00D02C0A">
        <w:rPr>
          <w:rFonts w:ascii="Century" w:eastAsia="BatangChe" w:hAnsi="Century"/>
          <w:sz w:val="24"/>
          <w:szCs w:val="24"/>
        </w:rPr>
        <w:t xml:space="preserve"> de los bienes, por lo que es muy importante que al acudir a realizar la declaración de los bienes se informe a quien elabore el Acta que escriban tal y como se encuentran los bienes en el inventario.</w:t>
      </w:r>
    </w:p>
    <w:p w:rsidR="00D02C0A" w:rsidRPr="00D02C0A" w:rsidRDefault="00D02C0A" w:rsidP="00D02C0A">
      <w:pPr>
        <w:pStyle w:val="Prrafodelista"/>
        <w:numPr>
          <w:ilvl w:val="0"/>
          <w:numId w:val="2"/>
        </w:numPr>
        <w:jc w:val="both"/>
        <w:rPr>
          <w:rFonts w:ascii="Century" w:eastAsia="BatangChe" w:hAnsi="Century"/>
          <w:sz w:val="24"/>
          <w:szCs w:val="24"/>
        </w:rPr>
      </w:pPr>
      <w:r w:rsidRPr="00D02C0A">
        <w:rPr>
          <w:rFonts w:ascii="Century" w:eastAsia="BatangChe" w:hAnsi="Century"/>
          <w:sz w:val="24"/>
          <w:szCs w:val="24"/>
        </w:rPr>
        <w:t>Todos los expedientes que se devuelvan por no cumplir con los requisitos requeridos para el trámite se les elaborara un volante de devolución.</w:t>
      </w:r>
    </w:p>
    <w:p w:rsidR="00D02C0A" w:rsidRPr="004470BD" w:rsidRDefault="00D02C0A" w:rsidP="00D02C0A">
      <w:pPr>
        <w:pStyle w:val="Prrafodelista"/>
        <w:jc w:val="both"/>
        <w:rPr>
          <w:rFonts w:ascii="BatangChe" w:eastAsia="BatangChe" w:hAnsi="BatangChe"/>
          <w:b/>
          <w:sz w:val="24"/>
          <w:szCs w:val="24"/>
        </w:rPr>
      </w:pPr>
    </w:p>
    <w:p w:rsidR="004470BD" w:rsidRDefault="004470BD" w:rsidP="00D02C0A">
      <w:pPr>
        <w:pStyle w:val="Prrafodelista"/>
      </w:pPr>
    </w:p>
    <w:p w:rsidR="00D02C0A" w:rsidRDefault="00D02C0A" w:rsidP="00D02C0A">
      <w:pPr>
        <w:pStyle w:val="Prrafodelista"/>
      </w:pPr>
    </w:p>
    <w:sectPr w:rsidR="00D02C0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9A3" w:rsidRDefault="008A49A3" w:rsidP="00D02C0A">
      <w:pPr>
        <w:spacing w:after="0" w:line="240" w:lineRule="auto"/>
      </w:pPr>
      <w:r>
        <w:separator/>
      </w:r>
    </w:p>
  </w:endnote>
  <w:endnote w:type="continuationSeparator" w:id="0">
    <w:p w:rsidR="008A49A3" w:rsidRDefault="008A49A3" w:rsidP="00D0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A" w:rsidRDefault="00D02C0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FECHA DE ELABORACION: 11 DE JUNIO DEL 2013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41F33" w:rsidRPr="00741F3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D02C0A" w:rsidRDefault="00D02C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9A3" w:rsidRDefault="008A49A3" w:rsidP="00D02C0A">
      <w:pPr>
        <w:spacing w:after="0" w:line="240" w:lineRule="auto"/>
      </w:pPr>
      <w:r>
        <w:separator/>
      </w:r>
    </w:p>
  </w:footnote>
  <w:footnote w:type="continuationSeparator" w:id="0">
    <w:p w:rsidR="008A49A3" w:rsidRDefault="008A49A3" w:rsidP="00D0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659" w:rsidRDefault="009B0659" w:rsidP="009B0659">
    <w:pPr>
      <w:pStyle w:val="Encabezado"/>
      <w:jc w:val="center"/>
      <w:rPr>
        <w:rFonts w:ascii="Century" w:hAnsi="Century"/>
        <w:b/>
      </w:rPr>
    </w:pPr>
    <w:r w:rsidRPr="00D02C0A">
      <w:rPr>
        <w:rFonts w:ascii="Century" w:hAnsi="Century"/>
        <w:b/>
      </w:rPr>
      <w:t>REQUISITOS SOLICITADOS POR OFICINAS CENTRALES DE GUANAJUATO PARA TRÁMITE DE SINIESTRO</w:t>
    </w:r>
  </w:p>
  <w:p w:rsidR="009B0659" w:rsidRDefault="009B0659" w:rsidP="009B0659">
    <w:pPr>
      <w:pStyle w:val="Encabezad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D02C0A" w:rsidRDefault="00D02C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7E88"/>
    <w:multiLevelType w:val="hybridMultilevel"/>
    <w:tmpl w:val="DCB491EA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0C5C49"/>
    <w:multiLevelType w:val="hybridMultilevel"/>
    <w:tmpl w:val="42B47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32"/>
    <w:rsid w:val="001D6632"/>
    <w:rsid w:val="001E6E35"/>
    <w:rsid w:val="004470BD"/>
    <w:rsid w:val="00741F33"/>
    <w:rsid w:val="008A49A3"/>
    <w:rsid w:val="00950FDE"/>
    <w:rsid w:val="009B0659"/>
    <w:rsid w:val="00AE0695"/>
    <w:rsid w:val="00D02C0A"/>
    <w:rsid w:val="00E2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6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C0A"/>
  </w:style>
  <w:style w:type="paragraph" w:styleId="Piedepgina">
    <w:name w:val="footer"/>
    <w:basedOn w:val="Normal"/>
    <w:link w:val="PiedepginaCar"/>
    <w:uiPriority w:val="99"/>
    <w:unhideWhenUsed/>
    <w:rsid w:val="00D0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C0A"/>
  </w:style>
  <w:style w:type="paragraph" w:styleId="Textodeglobo">
    <w:name w:val="Balloon Text"/>
    <w:basedOn w:val="Normal"/>
    <w:link w:val="TextodegloboCar"/>
    <w:uiPriority w:val="99"/>
    <w:semiHidden/>
    <w:unhideWhenUsed/>
    <w:rsid w:val="00D0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6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C0A"/>
  </w:style>
  <w:style w:type="paragraph" w:styleId="Piedepgina">
    <w:name w:val="footer"/>
    <w:basedOn w:val="Normal"/>
    <w:link w:val="PiedepginaCar"/>
    <w:uiPriority w:val="99"/>
    <w:unhideWhenUsed/>
    <w:rsid w:val="00D0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C0A"/>
  </w:style>
  <w:style w:type="paragraph" w:styleId="Textodeglobo">
    <w:name w:val="Balloon Text"/>
    <w:basedOn w:val="Normal"/>
    <w:link w:val="TextodegloboCar"/>
    <w:uiPriority w:val="99"/>
    <w:semiHidden/>
    <w:unhideWhenUsed/>
    <w:rsid w:val="00D0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</cp:lastModifiedBy>
  <cp:revision>3</cp:revision>
  <cp:lastPrinted>2013-06-12T14:17:00Z</cp:lastPrinted>
  <dcterms:created xsi:type="dcterms:W3CDTF">2013-08-07T18:02:00Z</dcterms:created>
  <dcterms:modified xsi:type="dcterms:W3CDTF">2013-08-07T18:18:00Z</dcterms:modified>
</cp:coreProperties>
</file>