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房屋租赁合同</w:t>
      </w:r>
    </w:p>
    <w:p>
      <w:r>
        <w:t>出租方（甲方）：东莞市恒泰物业管理有限公司</w:t>
      </w:r>
    </w:p>
    <w:p>
      <w:r>
        <w:t>承租方（乙方）：澜川精密制造有限公司</w:t>
      </w:r>
    </w:p>
    <w:p>
      <w:r>
        <w:t>租赁物：东莞市松山湖虚拟大道 18 号 B 栋 5 层</w:t>
      </w:r>
    </w:p>
    <w:p>
      <w:r>
        <w:t>租赁期限：2025年1月1日至2027年12月31日</w:t>
      </w:r>
    </w:p>
    <w:p>
      <w:r>
        <w:t>租金：每月每平方米 38 元</w:t>
      </w:r>
    </w:p>
    <w:p>
      <w:r>
        <w:rPr>
          <w:i/>
          <w:sz w:val="18"/>
        </w:rPr>
        <w:t>【虚拟样本】出租方刻意设为物业公司，用于演示租赁合法性核查。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