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劳动争议情况说明</w:t>
      </w:r>
    </w:p>
    <w:p>
      <w:r>
        <w:t>2024 年发生劳动仲裁 2 起，其中 1 起已结案</w:t>
      </w:r>
    </w:p>
    <w:p>
      <w:r>
        <w:t>涉诉金额合计约 46 万元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